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EA5D" w14:textId="4FC014DB" w:rsidR="00470F92" w:rsidRPr="00470F92" w:rsidRDefault="00470F92" w:rsidP="00470F92">
      <w:pPr>
        <w:contextualSpacing/>
        <w:rPr>
          <w:b/>
          <w:color w:val="000000" w:themeColor="text1"/>
        </w:rPr>
      </w:pPr>
      <w:r w:rsidRPr="002916F8">
        <w:rPr>
          <w:b/>
          <w:color w:val="000000" w:themeColor="text1"/>
        </w:rPr>
        <w:t>Examining PM</w:t>
      </w:r>
      <w:r w:rsidRPr="002916F8">
        <w:rPr>
          <w:b/>
          <w:color w:val="000000" w:themeColor="text1"/>
          <w:vertAlign w:val="subscript"/>
        </w:rPr>
        <w:t>2.5</w:t>
      </w:r>
      <w:r w:rsidRPr="002916F8">
        <w:rPr>
          <w:b/>
          <w:color w:val="000000" w:themeColor="text1"/>
        </w:rPr>
        <w:t xml:space="preserve"> Concentrations in Counties with and without State-Run Correctional Facilities in Texas</w:t>
      </w:r>
    </w:p>
    <w:p w14:paraId="405FA4AA" w14:textId="77777777" w:rsidR="00470F92" w:rsidRDefault="00470F92" w:rsidP="00EB783F">
      <w:pPr>
        <w:jc w:val="center"/>
        <w:rPr>
          <w:b/>
          <w:bCs/>
          <w:color w:val="000000" w:themeColor="text1"/>
        </w:rPr>
      </w:pPr>
    </w:p>
    <w:p w14:paraId="0814ABB0" w14:textId="4066BCA4" w:rsidR="00EB783F" w:rsidRPr="00850AC9" w:rsidRDefault="00EB783F" w:rsidP="00EB783F">
      <w:pPr>
        <w:jc w:val="center"/>
        <w:rPr>
          <w:b/>
          <w:bCs/>
          <w:color w:val="000000" w:themeColor="text1"/>
        </w:rPr>
      </w:pPr>
      <w:r w:rsidRPr="00850AC9">
        <w:rPr>
          <w:b/>
          <w:bCs/>
          <w:color w:val="000000" w:themeColor="text1"/>
        </w:rPr>
        <w:t>Abstract</w:t>
      </w:r>
    </w:p>
    <w:p w14:paraId="0D4EE71B" w14:textId="77777777" w:rsidR="00850AC9" w:rsidRPr="00F139AA" w:rsidRDefault="00850AC9" w:rsidP="00850AC9">
      <w:pPr>
        <w:jc w:val="center"/>
      </w:pPr>
    </w:p>
    <w:p w14:paraId="59DCFFF0" w14:textId="67FE7EF3" w:rsidR="00EF17B7" w:rsidRPr="00832BCC" w:rsidRDefault="00EF17B7" w:rsidP="00EF17B7">
      <w:pPr>
        <w:spacing w:line="480" w:lineRule="auto"/>
        <w:rPr>
          <w:color w:val="000000" w:themeColor="text1"/>
        </w:rPr>
      </w:pPr>
      <w:r w:rsidRPr="00832BCC">
        <w:rPr>
          <w:color w:val="000000" w:themeColor="text1"/>
        </w:rPr>
        <w:t>A high percentage of people who are incarcerated suffer from health problems that affect them both in prison and after they are released. Environmental hazards and pollutants can exacerbate these problems as well as contribute to the development of new health conditions. One specific type of pollutant that is associated with a wide array of health problems including decreased lung function, cancer, and asthma is particulate matter smaller than 2.5 micrometers (</w:t>
      </w:r>
      <w:r w:rsidRPr="00832BCC">
        <w:rPr>
          <w:color w:val="212529"/>
          <w:shd w:val="clear" w:color="auto" w:fill="FFFFFF"/>
        </w:rPr>
        <w:t>PM</w:t>
      </w:r>
      <w:r w:rsidRPr="00832BCC">
        <w:rPr>
          <w:color w:val="212529"/>
          <w:shd w:val="clear" w:color="auto" w:fill="FFFFFF"/>
          <w:vertAlign w:val="subscript"/>
        </w:rPr>
        <w:t>2.5</w:t>
      </w:r>
      <w:r w:rsidRPr="00832BCC">
        <w:rPr>
          <w:color w:val="212529"/>
          <w:shd w:val="clear" w:color="auto" w:fill="FFFFFF"/>
        </w:rPr>
        <w:t>). While prior research indicates that PM</w:t>
      </w:r>
      <w:r w:rsidRPr="00832BCC">
        <w:rPr>
          <w:color w:val="212529"/>
          <w:shd w:val="clear" w:color="auto" w:fill="FFFFFF"/>
          <w:vertAlign w:val="subscript"/>
        </w:rPr>
        <w:t xml:space="preserve">2.5 </w:t>
      </w:r>
      <w:r w:rsidRPr="00832BCC">
        <w:rPr>
          <w:color w:val="212529"/>
          <w:shd w:val="clear" w:color="auto" w:fill="FFFFFF"/>
        </w:rPr>
        <w:t>is not equally distributed throughout space, it remains unknown if levels of PM</w:t>
      </w:r>
      <w:r w:rsidRPr="00832BCC">
        <w:rPr>
          <w:color w:val="212529"/>
          <w:shd w:val="clear" w:color="auto" w:fill="FFFFFF"/>
          <w:vertAlign w:val="subscript"/>
        </w:rPr>
        <w:t xml:space="preserve">2.5 </w:t>
      </w:r>
      <w:r w:rsidRPr="00832BCC">
        <w:rPr>
          <w:color w:val="212529"/>
          <w:shd w:val="clear" w:color="auto" w:fill="FFFFFF"/>
        </w:rPr>
        <w:t xml:space="preserve">differ in areas with and without </w:t>
      </w:r>
      <w:proofErr w:type="gramStart"/>
      <w:r w:rsidRPr="00832BCC">
        <w:rPr>
          <w:color w:val="000000" w:themeColor="text1"/>
        </w:rPr>
        <w:t>correctional facilities</w:t>
      </w:r>
      <w:proofErr w:type="gramEnd"/>
      <w:r w:rsidRPr="00832BCC">
        <w:rPr>
          <w:color w:val="000000" w:themeColor="text1"/>
        </w:rPr>
        <w:t xml:space="preserve">. The current study aims to address this gap by examining if </w:t>
      </w:r>
      <w:r w:rsidRPr="00832BCC">
        <w:rPr>
          <w:color w:val="212529"/>
          <w:shd w:val="clear" w:color="auto" w:fill="FFFFFF"/>
        </w:rPr>
        <w:t xml:space="preserve">counties with state-run </w:t>
      </w:r>
      <w:proofErr w:type="gramStart"/>
      <w:r w:rsidRPr="00832BCC">
        <w:rPr>
          <w:color w:val="212529"/>
          <w:shd w:val="clear" w:color="auto" w:fill="FFFFFF"/>
        </w:rPr>
        <w:t>correctional facilities</w:t>
      </w:r>
      <w:proofErr w:type="gramEnd"/>
      <w:r w:rsidRPr="00832BCC">
        <w:rPr>
          <w:color w:val="212529"/>
          <w:shd w:val="clear" w:color="auto" w:fill="FFFFFF"/>
        </w:rPr>
        <w:t xml:space="preserve"> have higher concentrations of PM</w:t>
      </w:r>
      <w:r w:rsidRPr="00832BCC">
        <w:rPr>
          <w:color w:val="212529"/>
          <w:shd w:val="clear" w:color="auto" w:fill="FFFFFF"/>
          <w:vertAlign w:val="subscript"/>
        </w:rPr>
        <w:t xml:space="preserve">2.5 </w:t>
      </w:r>
      <w:r w:rsidRPr="00832BCC">
        <w:rPr>
          <w:color w:val="212529"/>
          <w:shd w:val="clear" w:color="auto" w:fill="FFFFFF"/>
        </w:rPr>
        <w:t xml:space="preserve">relative to counties without state-run correctional facilities in Texas. Results of OLS </w:t>
      </w:r>
      <w:r w:rsidR="00125588">
        <w:rPr>
          <w:color w:val="212529"/>
          <w:shd w:val="clear" w:color="auto" w:fill="FFFFFF"/>
        </w:rPr>
        <w:t xml:space="preserve">regression </w:t>
      </w:r>
      <w:r w:rsidRPr="00832BCC">
        <w:rPr>
          <w:color w:val="212529"/>
          <w:shd w:val="clear" w:color="auto" w:fill="FFFFFF"/>
        </w:rPr>
        <w:t xml:space="preserve">models indicate that counties with one or more state-run </w:t>
      </w:r>
      <w:proofErr w:type="gramStart"/>
      <w:r w:rsidRPr="00832BCC">
        <w:rPr>
          <w:color w:val="212529"/>
          <w:shd w:val="clear" w:color="auto" w:fill="FFFFFF"/>
        </w:rPr>
        <w:t>correctional facilities</w:t>
      </w:r>
      <w:proofErr w:type="gramEnd"/>
      <w:r w:rsidRPr="00832BCC">
        <w:rPr>
          <w:color w:val="212529"/>
          <w:shd w:val="clear" w:color="auto" w:fill="FFFFFF"/>
        </w:rPr>
        <w:t xml:space="preserve"> have higher concentrations of PM</w:t>
      </w:r>
      <w:r w:rsidRPr="00832BCC">
        <w:rPr>
          <w:color w:val="212529"/>
          <w:shd w:val="clear" w:color="auto" w:fill="FFFFFF"/>
          <w:vertAlign w:val="subscript"/>
        </w:rPr>
        <w:t xml:space="preserve">2.5 </w:t>
      </w:r>
      <w:r w:rsidRPr="00832BCC">
        <w:rPr>
          <w:color w:val="212529"/>
          <w:shd w:val="clear" w:color="auto" w:fill="FFFFFF"/>
        </w:rPr>
        <w:t xml:space="preserve">relative to counties without these facilities. These findings highlight the importance of improving prison healthcare and addressing issues of environmental injustice in correctional facilities. </w:t>
      </w:r>
    </w:p>
    <w:p w14:paraId="329F70F9" w14:textId="77777777" w:rsidR="002B2A05" w:rsidRPr="00832BCC" w:rsidRDefault="002B2A05" w:rsidP="00832BCC">
      <w:pPr>
        <w:spacing w:line="480" w:lineRule="auto"/>
        <w:jc w:val="center"/>
      </w:pPr>
    </w:p>
    <w:p w14:paraId="554A137D" w14:textId="6615557F" w:rsidR="00850AC9" w:rsidRPr="00832BCC" w:rsidRDefault="00EB783F" w:rsidP="00832BCC">
      <w:pPr>
        <w:spacing w:line="480" w:lineRule="auto"/>
      </w:pPr>
      <w:r w:rsidRPr="00832BCC">
        <w:rPr>
          <w:i/>
          <w:iCs/>
        </w:rPr>
        <w:t xml:space="preserve">Keywords: </w:t>
      </w:r>
      <w:r w:rsidR="00470F92" w:rsidRPr="00832BCC">
        <w:t>e</w:t>
      </w:r>
      <w:r w:rsidR="005E3955" w:rsidRPr="00832BCC">
        <w:t xml:space="preserve">nvironmental </w:t>
      </w:r>
      <w:r w:rsidR="00470F92" w:rsidRPr="00832BCC">
        <w:t>j</w:t>
      </w:r>
      <w:r w:rsidR="005E3955" w:rsidRPr="00832BCC">
        <w:t xml:space="preserve">ustice, </w:t>
      </w:r>
      <w:r w:rsidR="00470F92" w:rsidRPr="00832BCC">
        <w:t>g</w:t>
      </w:r>
      <w:r w:rsidR="005E3955" w:rsidRPr="00832BCC">
        <w:t xml:space="preserve">reen </w:t>
      </w:r>
      <w:r w:rsidR="00470F92" w:rsidRPr="00832BCC">
        <w:t>c</w:t>
      </w:r>
      <w:r w:rsidR="005E3955" w:rsidRPr="00832BCC">
        <w:t xml:space="preserve">riminology, </w:t>
      </w:r>
      <w:r w:rsidR="00470F92" w:rsidRPr="00832BCC">
        <w:t>c</w:t>
      </w:r>
      <w:r w:rsidR="005E3955" w:rsidRPr="00832BCC">
        <w:t xml:space="preserve">orrections, </w:t>
      </w:r>
      <w:r w:rsidR="00470F92" w:rsidRPr="00832BCC">
        <w:t>p</w:t>
      </w:r>
      <w:r w:rsidR="005E3955" w:rsidRPr="00832BCC">
        <w:t>ollution</w:t>
      </w:r>
    </w:p>
    <w:p w14:paraId="15DA74E9" w14:textId="77777777" w:rsidR="00850AC9" w:rsidRDefault="00850AC9" w:rsidP="00850AC9">
      <w:pPr>
        <w:jc w:val="center"/>
      </w:pPr>
    </w:p>
    <w:p w14:paraId="08E6D1D8" w14:textId="2D8A306C" w:rsidR="00850AC9" w:rsidRDefault="00850AC9" w:rsidP="002B2A05"/>
    <w:p w14:paraId="67316696" w14:textId="77777777" w:rsidR="00197CDB" w:rsidRDefault="00197CDB" w:rsidP="00197CDB">
      <w:pPr>
        <w:jc w:val="center"/>
        <w:rPr>
          <w:color w:val="000000"/>
        </w:rPr>
      </w:pPr>
    </w:p>
    <w:p w14:paraId="46B0B2C7" w14:textId="5C49C4E8" w:rsidR="0078650B" w:rsidRPr="00FB3A5E" w:rsidRDefault="00470F92" w:rsidP="00470F92">
      <w:pPr>
        <w:jc w:val="center"/>
        <w:rPr>
          <w:color w:val="000000"/>
        </w:rPr>
      </w:pPr>
      <w:r w:rsidRPr="00FB3A5E">
        <w:rPr>
          <w:color w:val="000000"/>
        </w:rPr>
        <w:t xml:space="preserve"> </w:t>
      </w:r>
    </w:p>
    <w:p w14:paraId="0462AED7" w14:textId="77777777" w:rsidR="002A07B6" w:rsidRDefault="002A07B6" w:rsidP="002A07B6">
      <w:pPr>
        <w:pStyle w:val="NormalWeb"/>
        <w:spacing w:before="0" w:beforeAutospacing="0" w:after="0" w:afterAutospacing="0" w:line="480" w:lineRule="auto"/>
        <w:rPr>
          <w:b/>
          <w:bCs/>
        </w:rPr>
      </w:pPr>
    </w:p>
    <w:p w14:paraId="4152F94E" w14:textId="77777777" w:rsidR="002A07B6" w:rsidRDefault="002A07B6" w:rsidP="002A07B6">
      <w:pPr>
        <w:pStyle w:val="NormalWeb"/>
        <w:spacing w:before="0" w:beforeAutospacing="0" w:after="0" w:afterAutospacing="0" w:line="480" w:lineRule="auto"/>
        <w:rPr>
          <w:b/>
          <w:bCs/>
        </w:rPr>
      </w:pPr>
    </w:p>
    <w:p w14:paraId="72D110A0" w14:textId="77777777" w:rsidR="002A07B6" w:rsidRDefault="002A07B6" w:rsidP="002A07B6">
      <w:pPr>
        <w:pStyle w:val="NormalWeb"/>
        <w:spacing w:before="0" w:beforeAutospacing="0" w:after="0" w:afterAutospacing="0" w:line="480" w:lineRule="auto"/>
        <w:rPr>
          <w:b/>
          <w:bCs/>
        </w:rPr>
      </w:pPr>
    </w:p>
    <w:p w14:paraId="1D636E4E" w14:textId="77777777" w:rsidR="005718F2" w:rsidRDefault="005718F2" w:rsidP="002A07B6">
      <w:pPr>
        <w:pStyle w:val="NormalWeb"/>
        <w:spacing w:before="0" w:beforeAutospacing="0" w:after="0" w:afterAutospacing="0" w:line="480" w:lineRule="auto"/>
        <w:rPr>
          <w:b/>
          <w:bCs/>
        </w:rPr>
      </w:pPr>
    </w:p>
    <w:p w14:paraId="1ABC6EFE" w14:textId="16ED019C" w:rsidR="00622DFA" w:rsidRDefault="00622DFA" w:rsidP="002A07B6">
      <w:pPr>
        <w:pStyle w:val="NormalWeb"/>
        <w:spacing w:before="0" w:beforeAutospacing="0" w:after="0" w:afterAutospacing="0" w:line="480" w:lineRule="auto"/>
        <w:rPr>
          <w:b/>
          <w:bCs/>
        </w:rPr>
      </w:pPr>
      <w:r w:rsidRPr="00392719">
        <w:rPr>
          <w:b/>
          <w:bCs/>
        </w:rPr>
        <w:lastRenderedPageBreak/>
        <w:t>Introduction</w:t>
      </w:r>
    </w:p>
    <w:p w14:paraId="51DBD314" w14:textId="2850DC7B" w:rsidR="004815D7" w:rsidRDefault="0055468A" w:rsidP="00C36084">
      <w:pPr>
        <w:spacing w:line="480" w:lineRule="auto"/>
      </w:pPr>
      <w:r w:rsidRPr="005536BF">
        <w:rPr>
          <w:color w:val="222222"/>
          <w:shd w:val="clear" w:color="auto" w:fill="FFFFFF"/>
        </w:rPr>
        <w:t>People who are incarcerated have poorer health, on average, than people in the general population (Butler et al., 2004; Fazel &amp; Baillargeon, 2011).</w:t>
      </w:r>
      <w:r>
        <w:rPr>
          <w:color w:val="222222"/>
          <w:shd w:val="clear" w:color="auto" w:fill="FFFFFF"/>
        </w:rPr>
        <w:t xml:space="preserve"> I</w:t>
      </w:r>
      <w:r>
        <w:t xml:space="preserve">ndividuals incarcerated in </w:t>
      </w:r>
      <w:r w:rsidR="00BF43F3">
        <w:t>United States (</w:t>
      </w:r>
      <w:r>
        <w:t>U.S.</w:t>
      </w:r>
      <w:r w:rsidR="00BF43F3">
        <w:t>)</w:t>
      </w:r>
      <w:r>
        <w:t xml:space="preserve"> j</w:t>
      </w:r>
      <w:r w:rsidRPr="00D63EA4">
        <w:t>ail</w:t>
      </w:r>
      <w:r>
        <w:t>s</w:t>
      </w:r>
      <w:r w:rsidRPr="00D63EA4">
        <w:t xml:space="preserve"> and prison</w:t>
      </w:r>
      <w:r>
        <w:t>s</w:t>
      </w:r>
      <w:r w:rsidRPr="00D63EA4">
        <w:t xml:space="preserve"> </w:t>
      </w:r>
      <w:r>
        <w:t xml:space="preserve">have been found to be more likely to suffer from </w:t>
      </w:r>
      <w:r w:rsidRPr="00D63EA4">
        <w:t>hypertension, asthma, arthritis, cervical cancer</w:t>
      </w:r>
      <w:r>
        <w:t>,</w:t>
      </w:r>
      <w:r w:rsidRPr="00D63EA4">
        <w:t xml:space="preserve"> and hepatitis </w:t>
      </w:r>
      <w:r>
        <w:t>compared t</w:t>
      </w:r>
      <w:r w:rsidR="00D724F9">
        <w:t>o</w:t>
      </w:r>
      <w:r>
        <w:t xml:space="preserve"> </w:t>
      </w:r>
      <w:r w:rsidRPr="00D63EA4">
        <w:t>adults</w:t>
      </w:r>
      <w:r>
        <w:t xml:space="preserve"> in the</w:t>
      </w:r>
      <w:r w:rsidR="00BF43F3">
        <w:t xml:space="preserve"> U.S.</w:t>
      </w:r>
      <w:r>
        <w:t xml:space="preserve"> general population (</w:t>
      </w:r>
      <w:r w:rsidRPr="00D63EA4">
        <w:rPr>
          <w:color w:val="222222"/>
          <w:shd w:val="clear" w:color="auto" w:fill="FFFFFF"/>
        </w:rPr>
        <w:t>Binswanger, Krueger, &amp; Steiner,</w:t>
      </w:r>
      <w:r>
        <w:rPr>
          <w:color w:val="222222"/>
          <w:shd w:val="clear" w:color="auto" w:fill="FFFFFF"/>
        </w:rPr>
        <w:t xml:space="preserve"> 2009</w:t>
      </w:r>
      <w:r>
        <w:t xml:space="preserve">). </w:t>
      </w:r>
      <w:r w:rsidR="006B5A2E">
        <w:t xml:space="preserve">While incarcerated individuals might enter prison with preexisting conditions, they also have a higher risk of developing new health conditions in prison relative to people in the community (Wildeman &amp; Wang, 2017). </w:t>
      </w:r>
      <w:r>
        <w:t xml:space="preserve">Incarcerated individuals rated their overall health more poorly than people in the general population (Butler et al., 2004). </w:t>
      </w:r>
      <w:r w:rsidR="00BF43F3">
        <w:t>In addition, o</w:t>
      </w:r>
      <w:r>
        <w:t xml:space="preserve">lder </w:t>
      </w:r>
      <w:r w:rsidR="006D6C16">
        <w:t>incarcerated people</w:t>
      </w:r>
      <w:r>
        <w:t xml:space="preserve"> are more likely to have a disease or infection than both younger </w:t>
      </w:r>
      <w:r w:rsidR="006D6C16">
        <w:t>incarcerated people</w:t>
      </w:r>
      <w:r>
        <w:t xml:space="preserve"> and older people in the general population (Fazel et al., 2001; </w:t>
      </w:r>
      <w:proofErr w:type="spellStart"/>
      <w:r>
        <w:t>Maruschak</w:t>
      </w:r>
      <w:proofErr w:type="spellEnd"/>
      <w:r>
        <w:t xml:space="preserve">, </w:t>
      </w:r>
      <w:proofErr w:type="spellStart"/>
      <w:r>
        <w:t>Berzofsky</w:t>
      </w:r>
      <w:proofErr w:type="spellEnd"/>
      <w:r>
        <w:t xml:space="preserve">, &amp; </w:t>
      </w:r>
      <w:proofErr w:type="spellStart"/>
      <w:r>
        <w:t>Unangst</w:t>
      </w:r>
      <w:proofErr w:type="spellEnd"/>
      <w:r>
        <w:t xml:space="preserve">, 2015). </w:t>
      </w:r>
      <w:r w:rsidR="00120E92">
        <w:t xml:space="preserve">This is of particular concern as the average age of </w:t>
      </w:r>
      <w:r w:rsidR="006D6C16">
        <w:t xml:space="preserve">people incarcerated in the </w:t>
      </w:r>
      <w:r w:rsidR="00120E92">
        <w:t xml:space="preserve">U.S. has increased </w:t>
      </w:r>
      <w:r w:rsidR="00E25307">
        <w:t>substantially</w:t>
      </w:r>
      <w:r w:rsidR="00120E92">
        <w:t xml:space="preserve"> over the last 30 years (</w:t>
      </w:r>
      <w:r w:rsidR="00120E92" w:rsidRPr="00603F50">
        <w:t>Carson</w:t>
      </w:r>
      <w:r w:rsidR="00120E92">
        <w:t xml:space="preserve"> </w:t>
      </w:r>
      <w:r w:rsidR="00120E92" w:rsidRPr="00603F50">
        <w:t>&amp; Sabol,</w:t>
      </w:r>
      <w:r w:rsidR="00120E92">
        <w:t xml:space="preserve"> </w:t>
      </w:r>
      <w:r w:rsidR="00120E92" w:rsidRPr="00603F50">
        <w:t>2016</w:t>
      </w:r>
      <w:r w:rsidR="00120E92">
        <w:t xml:space="preserve">). </w:t>
      </w:r>
    </w:p>
    <w:p w14:paraId="3A17B6CB" w14:textId="624C5560" w:rsidR="003F1BE4" w:rsidRDefault="003A7FB9" w:rsidP="00C36084">
      <w:pPr>
        <w:spacing w:line="480" w:lineRule="auto"/>
        <w:ind w:firstLine="720"/>
        <w:rPr>
          <w:color w:val="222222"/>
          <w:shd w:val="clear" w:color="auto" w:fill="FFFFFF"/>
        </w:rPr>
      </w:pPr>
      <w:r>
        <w:t>A</w:t>
      </w:r>
      <w:r w:rsidR="004815D7">
        <w:t>ccording to</w:t>
      </w:r>
      <w:r w:rsidR="005D2081">
        <w:t xml:space="preserve"> the United State</w:t>
      </w:r>
      <w:r w:rsidR="00026FCC">
        <w:t>s</w:t>
      </w:r>
      <w:r w:rsidR="005D2081">
        <w:t xml:space="preserve"> Bureau of Justice Statistics, about 40% of </w:t>
      </w:r>
      <w:r w:rsidR="006D6C16">
        <w:t xml:space="preserve">people in </w:t>
      </w:r>
      <w:r w:rsidR="005D2081">
        <w:t xml:space="preserve">state and federal </w:t>
      </w:r>
      <w:r w:rsidR="006D6C16">
        <w:t>prisons</w:t>
      </w:r>
      <w:r w:rsidR="005D2081">
        <w:t xml:space="preserve"> and jail</w:t>
      </w:r>
      <w:r w:rsidR="006D6C16">
        <w:t>s</w:t>
      </w:r>
      <w:r w:rsidR="005D2081">
        <w:t xml:space="preserve"> </w:t>
      </w:r>
      <w:r w:rsidR="004815D7">
        <w:t xml:space="preserve">of all ages </w:t>
      </w:r>
      <w:r w:rsidR="005D2081">
        <w:t>reported having a current chronic medical condition</w:t>
      </w:r>
      <w:r w:rsidR="004815D7">
        <w:t xml:space="preserve"> (</w:t>
      </w:r>
      <w:proofErr w:type="spellStart"/>
      <w:r w:rsidR="004815D7">
        <w:t>Maruschak</w:t>
      </w:r>
      <w:proofErr w:type="spellEnd"/>
      <w:r w:rsidR="004815D7">
        <w:t xml:space="preserve"> et al., 2015)</w:t>
      </w:r>
      <w:r w:rsidR="005D2081">
        <w:t xml:space="preserve">, which is </w:t>
      </w:r>
      <w:proofErr w:type="gramStart"/>
      <w:r w:rsidR="005D2081">
        <w:t>similar to</w:t>
      </w:r>
      <w:proofErr w:type="gramEnd"/>
      <w:r w:rsidR="005D2081">
        <w:t xml:space="preserve"> </w:t>
      </w:r>
      <w:r w:rsidR="007F31B4">
        <w:t xml:space="preserve">that of the general public </w:t>
      </w:r>
      <w:r w:rsidR="005D2081">
        <w:t>(</w:t>
      </w:r>
      <w:proofErr w:type="spellStart"/>
      <w:r w:rsidR="005D2081">
        <w:t>Raghupathi</w:t>
      </w:r>
      <w:proofErr w:type="spellEnd"/>
      <w:r w:rsidR="005D2081">
        <w:t xml:space="preserve"> &amp; </w:t>
      </w:r>
      <w:proofErr w:type="spellStart"/>
      <w:r w:rsidR="005D2081">
        <w:t>Raghupathi</w:t>
      </w:r>
      <w:proofErr w:type="spellEnd"/>
      <w:r w:rsidR="005D2081">
        <w:t xml:space="preserve">, 2018). </w:t>
      </w:r>
      <w:r w:rsidR="004815D7">
        <w:t>Despite these comparable figures,</w:t>
      </w:r>
      <w:r w:rsidR="005D2081">
        <w:t xml:space="preserve"> incarcerated individuals have access to </w:t>
      </w:r>
      <w:r w:rsidR="004208AE">
        <w:t>lower-quality</w:t>
      </w:r>
      <w:r w:rsidR="005D2081">
        <w:t xml:space="preserve"> healthcare than </w:t>
      </w:r>
      <w:r w:rsidR="007F31B4">
        <w:t>people who are not incarcerated</w:t>
      </w:r>
      <w:r w:rsidR="005D2081">
        <w:t xml:space="preserve"> </w:t>
      </w:r>
      <w:r w:rsidR="00945947">
        <w:t xml:space="preserve">and often are not granted access to the medications or treatment they need </w:t>
      </w:r>
      <w:r w:rsidR="005D2081">
        <w:t>(</w:t>
      </w:r>
      <w:r w:rsidR="009C49E7">
        <w:t xml:space="preserve">Prost et al., 2021; </w:t>
      </w:r>
      <w:r w:rsidR="00945947">
        <w:t xml:space="preserve">Ross 2012; </w:t>
      </w:r>
      <w:r w:rsidR="005D2081">
        <w:t>Vaughn &amp; Carroll, 1998)</w:t>
      </w:r>
      <w:r w:rsidR="004815D7">
        <w:t>, which makes living with these health conditions difficult and painful</w:t>
      </w:r>
      <w:r w:rsidR="005D2081">
        <w:t>.</w:t>
      </w:r>
      <w:r w:rsidR="004815D7">
        <w:t xml:space="preserve"> </w:t>
      </w:r>
      <w:r w:rsidR="00502BC5">
        <w:t xml:space="preserve">Health problems can also make it difficult for </w:t>
      </w:r>
      <w:r w:rsidR="004208AE">
        <w:t>formerly</w:t>
      </w:r>
      <w:r w:rsidR="00502BC5">
        <w:t xml:space="preserve"> incarcerated people to successfully re-enter society (</w:t>
      </w:r>
      <w:r w:rsidR="00502BC5" w:rsidRPr="001B6E40">
        <w:rPr>
          <w:color w:val="222222"/>
          <w:shd w:val="clear" w:color="auto" w:fill="FFFFFF"/>
        </w:rPr>
        <w:t xml:space="preserve">Link, Ward, &amp; Stansfield, </w:t>
      </w:r>
      <w:r w:rsidR="00502BC5">
        <w:rPr>
          <w:color w:val="222222"/>
          <w:shd w:val="clear" w:color="auto" w:fill="FFFFFF"/>
        </w:rPr>
        <w:t>2019</w:t>
      </w:r>
      <w:r w:rsidR="00502BC5">
        <w:t>).</w:t>
      </w:r>
      <w:r w:rsidR="00601B2A">
        <w:t xml:space="preserve"> </w:t>
      </w:r>
      <w:r w:rsidR="00502BC5">
        <w:t>T</w:t>
      </w:r>
      <w:r w:rsidR="003F1BE4">
        <w:t xml:space="preserve">here are several aspects of confinement that can exacerbate existing health </w:t>
      </w:r>
      <w:r w:rsidR="003F1BE4">
        <w:lastRenderedPageBreak/>
        <w:t>conditions for people in prison including</w:t>
      </w:r>
      <w:r w:rsidR="0050478B">
        <w:t xml:space="preserve"> being offered</w:t>
      </w:r>
      <w:r w:rsidR="003F1BE4">
        <w:t xml:space="preserve"> poor diets that are not up to nutritional standards </w:t>
      </w:r>
      <w:r w:rsidR="002E4C86">
        <w:t xml:space="preserve">in either quality or quantity </w:t>
      </w:r>
      <w:r w:rsidR="003F1BE4">
        <w:t>(</w:t>
      </w:r>
      <w:proofErr w:type="spellStart"/>
      <w:r w:rsidR="002E4C86">
        <w:t>Brisman</w:t>
      </w:r>
      <w:proofErr w:type="spellEnd"/>
      <w:r w:rsidR="002E4C86">
        <w:t xml:space="preserve">, 2008; </w:t>
      </w:r>
      <w:r w:rsidR="003F1BE4">
        <w:t xml:space="preserve">Holliday &amp; </w:t>
      </w:r>
      <w:proofErr w:type="spellStart"/>
      <w:r w:rsidR="003F1BE4">
        <w:t>Richarson</w:t>
      </w:r>
      <w:proofErr w:type="spellEnd"/>
      <w:r w:rsidR="003F1BE4">
        <w:t xml:space="preserve">, 2021) and exposure to </w:t>
      </w:r>
      <w:r w:rsidR="003F1BE4">
        <w:rPr>
          <w:color w:val="222222"/>
          <w:shd w:val="clear" w:color="auto" w:fill="FFFFFF"/>
        </w:rPr>
        <w:t>environmental toxins (</w:t>
      </w:r>
      <w:r w:rsidR="007965C6">
        <w:rPr>
          <w:color w:val="222222"/>
          <w:shd w:val="clear" w:color="auto" w:fill="FFFFFF"/>
        </w:rPr>
        <w:t>Pellow, 2021</w:t>
      </w:r>
      <w:r w:rsidR="003F1BE4">
        <w:rPr>
          <w:color w:val="222222"/>
          <w:shd w:val="clear" w:color="auto" w:fill="FFFFFF"/>
        </w:rPr>
        <w:t xml:space="preserve">). </w:t>
      </w:r>
      <w:r w:rsidR="00EA409F">
        <w:rPr>
          <w:color w:val="222222"/>
          <w:shd w:val="clear" w:color="auto" w:fill="FFFFFF"/>
        </w:rPr>
        <w:t>There have been accounts of U.S. prisons having contaminated water, being infested with insects and rodents, and being located on or near superfund sites or other toxic dumping sites (Bradshaw, 2018</w:t>
      </w:r>
      <w:r w:rsidR="006F097B">
        <w:rPr>
          <w:color w:val="222222"/>
          <w:shd w:val="clear" w:color="auto" w:fill="FFFFFF"/>
        </w:rPr>
        <w:t xml:space="preserve">; </w:t>
      </w:r>
      <w:r w:rsidR="006F097B" w:rsidRPr="00E62319">
        <w:rPr>
          <w:color w:val="222222"/>
          <w:shd w:val="clear" w:color="auto" w:fill="FFFFFF"/>
        </w:rPr>
        <w:t>Leon-Corwin</w:t>
      </w:r>
      <w:r w:rsidR="006F097B">
        <w:rPr>
          <w:color w:val="222222"/>
          <w:shd w:val="clear" w:color="auto" w:fill="FFFFFF"/>
        </w:rPr>
        <w:t xml:space="preserve"> et al., 2020</w:t>
      </w:r>
      <w:r w:rsidR="00EA409F">
        <w:rPr>
          <w:color w:val="222222"/>
          <w:shd w:val="clear" w:color="auto" w:fill="FFFFFF"/>
        </w:rPr>
        <w:t xml:space="preserve">). </w:t>
      </w:r>
    </w:p>
    <w:p w14:paraId="379795C2" w14:textId="25614C84" w:rsidR="00697A1A" w:rsidRPr="00697A1A" w:rsidRDefault="00717AA9" w:rsidP="00C36084">
      <w:pPr>
        <w:spacing w:line="480" w:lineRule="auto"/>
        <w:ind w:firstLine="720"/>
      </w:pPr>
      <w:r>
        <w:rPr>
          <w:color w:val="222222"/>
          <w:shd w:val="clear" w:color="auto" w:fill="FFFFFF"/>
        </w:rPr>
        <w:t xml:space="preserve">One specific type of environmental toxin that can worsen existing health conditions and </w:t>
      </w:r>
      <w:r w:rsidRPr="005F224A">
        <w:rPr>
          <w:color w:val="222222"/>
          <w:shd w:val="clear" w:color="auto" w:fill="FFFFFF"/>
        </w:rPr>
        <w:t>even contribute to the development of new conditions is</w:t>
      </w:r>
      <w:r w:rsidR="00FB714B" w:rsidRPr="005F224A">
        <w:rPr>
          <w:color w:val="222222"/>
          <w:shd w:val="clear" w:color="auto" w:fill="FFFFFF"/>
        </w:rPr>
        <w:t xml:space="preserve"> </w:t>
      </w:r>
      <w:r w:rsidR="00FB714B" w:rsidRPr="005F224A">
        <w:rPr>
          <w:color w:val="000000" w:themeColor="text1"/>
        </w:rPr>
        <w:t>particulate matter smaller than 2.5 micrometers</w:t>
      </w:r>
      <w:r>
        <w:rPr>
          <w:color w:val="222222"/>
          <w:shd w:val="clear" w:color="auto" w:fill="FFFFFF"/>
        </w:rPr>
        <w:t xml:space="preserve"> </w:t>
      </w:r>
      <w:r w:rsidR="00FB714B">
        <w:rPr>
          <w:color w:val="222222"/>
          <w:shd w:val="clear" w:color="auto" w:fill="FFFFFF"/>
        </w:rPr>
        <w:t>(</w:t>
      </w:r>
      <w:r w:rsidRPr="003526B8">
        <w:rPr>
          <w:color w:val="212529"/>
          <w:shd w:val="clear" w:color="auto" w:fill="FFFFFF"/>
        </w:rPr>
        <w:t>PM</w:t>
      </w:r>
      <w:r w:rsidRPr="003526B8">
        <w:rPr>
          <w:color w:val="212529"/>
          <w:shd w:val="clear" w:color="auto" w:fill="FFFFFF"/>
          <w:vertAlign w:val="subscript"/>
        </w:rPr>
        <w:t>2.5</w:t>
      </w:r>
      <w:r w:rsidR="00FB714B">
        <w:rPr>
          <w:color w:val="212529"/>
          <w:shd w:val="clear" w:color="auto" w:fill="FFFFFF"/>
        </w:rPr>
        <w:t>)</w:t>
      </w:r>
      <w:r>
        <w:rPr>
          <w:color w:val="212529"/>
          <w:shd w:val="clear" w:color="auto" w:fill="FFFFFF"/>
          <w:vertAlign w:val="subscript"/>
        </w:rPr>
        <w:t xml:space="preserve"> </w:t>
      </w:r>
      <w:r>
        <w:rPr>
          <w:color w:val="212529"/>
          <w:shd w:val="clear" w:color="auto" w:fill="FFFFFF"/>
        </w:rPr>
        <w:t>(</w:t>
      </w:r>
      <w:proofErr w:type="spellStart"/>
      <w:r>
        <w:rPr>
          <w:color w:val="212529"/>
          <w:shd w:val="clear" w:color="auto" w:fill="FFFFFF"/>
        </w:rPr>
        <w:t>Barja</w:t>
      </w:r>
      <w:proofErr w:type="spellEnd"/>
      <w:r>
        <w:rPr>
          <w:color w:val="212529"/>
          <w:shd w:val="clear" w:color="auto" w:fill="FFFFFF"/>
        </w:rPr>
        <w:t xml:space="preserve">, 2004; </w:t>
      </w:r>
      <w:r>
        <w:t xml:space="preserve">U.S. </w:t>
      </w:r>
      <w:r w:rsidRPr="007C1005">
        <w:t>Environmental Protection Agency</w:t>
      </w:r>
      <w:r>
        <w:t xml:space="preserve">, </w:t>
      </w:r>
      <w:r w:rsidRPr="007C1005">
        <w:t>20</w:t>
      </w:r>
      <w:r>
        <w:t xml:space="preserve">21; </w:t>
      </w:r>
      <w:r w:rsidRPr="00E32306">
        <w:rPr>
          <w:color w:val="222222"/>
          <w:shd w:val="clear" w:color="auto" w:fill="FFFFFF"/>
        </w:rPr>
        <w:t>Xing</w:t>
      </w:r>
      <w:r>
        <w:rPr>
          <w:color w:val="222222"/>
          <w:shd w:val="clear" w:color="auto" w:fill="FFFFFF"/>
        </w:rPr>
        <w:t xml:space="preserve"> et al., 2016</w:t>
      </w:r>
      <w:r>
        <w:rPr>
          <w:color w:val="212529"/>
          <w:shd w:val="clear" w:color="auto" w:fill="FFFFFF"/>
        </w:rPr>
        <w:t xml:space="preserve">). </w:t>
      </w:r>
      <w:r w:rsidRPr="003526B8">
        <w:rPr>
          <w:color w:val="212529"/>
          <w:shd w:val="clear" w:color="auto" w:fill="FFFFFF"/>
        </w:rPr>
        <w:t>PM</w:t>
      </w:r>
      <w:r w:rsidRPr="003526B8">
        <w:rPr>
          <w:color w:val="212529"/>
          <w:shd w:val="clear" w:color="auto" w:fill="FFFFFF"/>
          <w:vertAlign w:val="subscript"/>
        </w:rPr>
        <w:t>2.5</w:t>
      </w:r>
      <w:r>
        <w:rPr>
          <w:color w:val="212529"/>
          <w:shd w:val="clear" w:color="auto" w:fill="FFFFFF"/>
          <w:vertAlign w:val="subscript"/>
        </w:rPr>
        <w:t xml:space="preserve"> </w:t>
      </w:r>
      <w:r>
        <w:rPr>
          <w:color w:val="222222"/>
          <w:shd w:val="clear" w:color="auto" w:fill="FFFFFF"/>
        </w:rPr>
        <w:t xml:space="preserve">consists of tiny, but dangerous particles in the air and is linked to several detrimental health conditions including asthma, cancer, upper respiratory problems, and death. </w:t>
      </w:r>
      <w:r w:rsidR="001C1783">
        <w:rPr>
          <w:color w:val="222222"/>
          <w:shd w:val="clear" w:color="auto" w:fill="FFFFFF"/>
        </w:rPr>
        <w:t xml:space="preserve">Over 99% of the world’s population is exposed to unhealthy levels of </w:t>
      </w:r>
      <w:r w:rsidR="001C1783" w:rsidRPr="003526B8">
        <w:rPr>
          <w:color w:val="212529"/>
          <w:shd w:val="clear" w:color="auto" w:fill="FFFFFF"/>
        </w:rPr>
        <w:t>PM</w:t>
      </w:r>
      <w:r w:rsidR="001C1783" w:rsidRPr="003526B8">
        <w:rPr>
          <w:color w:val="212529"/>
          <w:shd w:val="clear" w:color="auto" w:fill="FFFFFF"/>
          <w:vertAlign w:val="subscript"/>
        </w:rPr>
        <w:t>2.5</w:t>
      </w:r>
      <w:r w:rsidR="001C1783">
        <w:rPr>
          <w:color w:val="212529"/>
          <w:shd w:val="clear" w:color="auto" w:fill="FFFFFF"/>
          <w:vertAlign w:val="subscript"/>
        </w:rPr>
        <w:t xml:space="preserve"> </w:t>
      </w:r>
      <w:r w:rsidR="001C1783">
        <w:rPr>
          <w:color w:val="222222"/>
          <w:shd w:val="clear" w:color="auto" w:fill="FFFFFF"/>
        </w:rPr>
        <w:t>(Yu et al., 2023). More shockingly, p</w:t>
      </w:r>
      <w:r w:rsidR="00831BA5">
        <w:rPr>
          <w:color w:val="222222"/>
          <w:shd w:val="clear" w:color="auto" w:fill="FFFFFF"/>
        </w:rPr>
        <w:t>rior research</w:t>
      </w:r>
      <w:r w:rsidR="00D724F9">
        <w:rPr>
          <w:color w:val="222222"/>
          <w:shd w:val="clear" w:color="auto" w:fill="FFFFFF"/>
        </w:rPr>
        <w:t xml:space="preserve"> has</w:t>
      </w:r>
      <w:r w:rsidR="00831BA5">
        <w:rPr>
          <w:color w:val="222222"/>
          <w:shd w:val="clear" w:color="auto" w:fill="FFFFFF"/>
        </w:rPr>
        <w:t xml:space="preserve"> indicated that </w:t>
      </w:r>
      <w:r w:rsidR="00831BA5" w:rsidRPr="003526B8">
        <w:rPr>
          <w:color w:val="212529"/>
          <w:shd w:val="clear" w:color="auto" w:fill="FFFFFF"/>
        </w:rPr>
        <w:t>PM</w:t>
      </w:r>
      <w:r w:rsidR="00831BA5" w:rsidRPr="003526B8">
        <w:rPr>
          <w:color w:val="212529"/>
          <w:shd w:val="clear" w:color="auto" w:fill="FFFFFF"/>
          <w:vertAlign w:val="subscript"/>
        </w:rPr>
        <w:t>2.5</w:t>
      </w:r>
      <w:r w:rsidR="00831BA5">
        <w:rPr>
          <w:color w:val="212529"/>
          <w:shd w:val="clear" w:color="auto" w:fill="FFFFFF"/>
          <w:vertAlign w:val="subscript"/>
        </w:rPr>
        <w:t xml:space="preserve"> </w:t>
      </w:r>
      <w:r w:rsidR="00831BA5">
        <w:rPr>
          <w:color w:val="222222"/>
          <w:shd w:val="clear" w:color="auto" w:fill="FFFFFF"/>
        </w:rPr>
        <w:t>is not equally distributed in space and tends to be higher</w:t>
      </w:r>
      <w:r w:rsidR="001C1783">
        <w:rPr>
          <w:color w:val="222222"/>
          <w:shd w:val="clear" w:color="auto" w:fill="FFFFFF"/>
        </w:rPr>
        <w:t xml:space="preserve">, and most dangerous </w:t>
      </w:r>
      <w:r w:rsidR="00831BA5">
        <w:rPr>
          <w:color w:val="222222"/>
          <w:shd w:val="clear" w:color="auto" w:fill="FFFFFF"/>
        </w:rPr>
        <w:t xml:space="preserve">in </w:t>
      </w:r>
      <w:r w:rsidR="002E3D29">
        <w:rPr>
          <w:color w:val="222222"/>
          <w:shd w:val="clear" w:color="auto" w:fill="FFFFFF"/>
        </w:rPr>
        <w:t>disadvantaged</w:t>
      </w:r>
      <w:r w:rsidR="00831BA5">
        <w:rPr>
          <w:color w:val="222222"/>
          <w:shd w:val="clear" w:color="auto" w:fill="FFFFFF"/>
        </w:rPr>
        <w:t xml:space="preserve"> communities (Colmer et al., 2020; </w:t>
      </w:r>
      <w:proofErr w:type="spellStart"/>
      <w:r w:rsidR="00831BA5">
        <w:rPr>
          <w:color w:val="222222"/>
          <w:shd w:val="clear" w:color="auto" w:fill="FFFFFF"/>
        </w:rPr>
        <w:t>Tessum</w:t>
      </w:r>
      <w:proofErr w:type="spellEnd"/>
      <w:r w:rsidR="00831BA5">
        <w:rPr>
          <w:color w:val="222222"/>
          <w:shd w:val="clear" w:color="auto" w:fill="FFFFFF"/>
        </w:rPr>
        <w:t xml:space="preserve"> et al., 2021)</w:t>
      </w:r>
      <w:r w:rsidR="000B4795">
        <w:rPr>
          <w:color w:val="222222"/>
          <w:shd w:val="clear" w:color="auto" w:fill="FFFFFF"/>
        </w:rPr>
        <w:t xml:space="preserve">. </w:t>
      </w:r>
      <w:r w:rsidR="00190DB9">
        <w:rPr>
          <w:color w:val="222222"/>
          <w:shd w:val="clear" w:color="auto" w:fill="FFFFFF"/>
        </w:rPr>
        <w:t>Y</w:t>
      </w:r>
      <w:r w:rsidR="000B4795">
        <w:rPr>
          <w:color w:val="222222"/>
          <w:shd w:val="clear" w:color="auto" w:fill="FFFFFF"/>
        </w:rPr>
        <w:t xml:space="preserve">et, at present, it is unknown if </w:t>
      </w:r>
      <w:r w:rsidR="000B4795" w:rsidRPr="003526B8">
        <w:rPr>
          <w:color w:val="212529"/>
          <w:shd w:val="clear" w:color="auto" w:fill="FFFFFF"/>
        </w:rPr>
        <w:t>PM</w:t>
      </w:r>
      <w:r w:rsidR="000B4795" w:rsidRPr="003526B8">
        <w:rPr>
          <w:color w:val="212529"/>
          <w:shd w:val="clear" w:color="auto" w:fill="FFFFFF"/>
          <w:vertAlign w:val="subscript"/>
        </w:rPr>
        <w:t>2.5</w:t>
      </w:r>
      <w:r w:rsidR="000B4795">
        <w:rPr>
          <w:color w:val="212529"/>
          <w:shd w:val="clear" w:color="auto" w:fill="FFFFFF"/>
          <w:vertAlign w:val="subscript"/>
        </w:rPr>
        <w:t xml:space="preserve"> </w:t>
      </w:r>
      <w:r w:rsidR="000B4795">
        <w:rPr>
          <w:color w:val="212529"/>
          <w:shd w:val="clear" w:color="auto" w:fill="FFFFFF"/>
        </w:rPr>
        <w:t xml:space="preserve">is higher in areas with prisons relative to areas without prisons. </w:t>
      </w:r>
      <w:r w:rsidR="005F224A">
        <w:rPr>
          <w:color w:val="222222"/>
          <w:shd w:val="clear" w:color="auto" w:fill="FFFFFF"/>
        </w:rPr>
        <w:t>P</w:t>
      </w:r>
      <w:r w:rsidR="000B4795">
        <w:rPr>
          <w:color w:val="222222"/>
          <w:shd w:val="clear" w:color="auto" w:fill="FFFFFF"/>
        </w:rPr>
        <w:t>risons are often located in areas characterized by low socioeconomic status</w:t>
      </w:r>
      <w:r w:rsidR="002E3D29">
        <w:rPr>
          <w:color w:val="222222"/>
          <w:shd w:val="clear" w:color="auto" w:fill="FFFFFF"/>
        </w:rPr>
        <w:t xml:space="preserve"> and </w:t>
      </w:r>
      <w:r w:rsidR="00D26C76">
        <w:rPr>
          <w:color w:val="222222"/>
          <w:shd w:val="clear" w:color="auto" w:fill="FFFFFF"/>
        </w:rPr>
        <w:t>disadvantage</w:t>
      </w:r>
      <w:r w:rsidR="000B4795">
        <w:rPr>
          <w:color w:val="222222"/>
          <w:shd w:val="clear" w:color="auto" w:fill="FFFFFF"/>
        </w:rPr>
        <w:t xml:space="preserve">, and thus it is hypothesized that </w:t>
      </w:r>
      <w:r w:rsidR="00831BA5">
        <w:rPr>
          <w:color w:val="222222"/>
          <w:shd w:val="clear" w:color="auto" w:fill="FFFFFF"/>
        </w:rPr>
        <w:t xml:space="preserve">concentrations </w:t>
      </w:r>
      <w:r w:rsidR="007F31B4">
        <w:rPr>
          <w:color w:val="222222"/>
          <w:shd w:val="clear" w:color="auto" w:fill="FFFFFF"/>
        </w:rPr>
        <w:t xml:space="preserve">of </w:t>
      </w:r>
      <w:r w:rsidR="00831BA5" w:rsidRPr="003526B8">
        <w:rPr>
          <w:color w:val="212529"/>
          <w:shd w:val="clear" w:color="auto" w:fill="FFFFFF"/>
        </w:rPr>
        <w:t>PM</w:t>
      </w:r>
      <w:r w:rsidR="00831BA5" w:rsidRPr="003526B8">
        <w:rPr>
          <w:color w:val="212529"/>
          <w:shd w:val="clear" w:color="auto" w:fill="FFFFFF"/>
          <w:vertAlign w:val="subscript"/>
        </w:rPr>
        <w:t>2.5</w:t>
      </w:r>
      <w:r w:rsidR="00831BA5">
        <w:rPr>
          <w:color w:val="212529"/>
          <w:shd w:val="clear" w:color="auto" w:fill="FFFFFF"/>
          <w:vertAlign w:val="subscript"/>
        </w:rPr>
        <w:t xml:space="preserve"> </w:t>
      </w:r>
      <w:r w:rsidR="00831BA5">
        <w:rPr>
          <w:color w:val="212529"/>
          <w:shd w:val="clear" w:color="auto" w:fill="FFFFFF"/>
        </w:rPr>
        <w:t xml:space="preserve">are higher in geographical areas with </w:t>
      </w:r>
      <w:r w:rsidR="00454B08">
        <w:rPr>
          <w:color w:val="212529"/>
          <w:shd w:val="clear" w:color="auto" w:fill="FFFFFF"/>
        </w:rPr>
        <w:t>correctional facilities</w:t>
      </w:r>
      <w:r w:rsidR="00831BA5">
        <w:rPr>
          <w:color w:val="212529"/>
          <w:shd w:val="clear" w:color="auto" w:fill="FFFFFF"/>
        </w:rPr>
        <w:t xml:space="preserve"> relative to geographical areas without </w:t>
      </w:r>
      <w:r w:rsidR="00454B08">
        <w:rPr>
          <w:color w:val="212529"/>
          <w:shd w:val="clear" w:color="auto" w:fill="FFFFFF"/>
        </w:rPr>
        <w:t>correctional facilities</w:t>
      </w:r>
      <w:r w:rsidR="000B4795">
        <w:rPr>
          <w:color w:val="212529"/>
          <w:shd w:val="clear" w:color="auto" w:fill="FFFFFF"/>
        </w:rPr>
        <w:t xml:space="preserve"> (Eason, 2010)</w:t>
      </w:r>
      <w:r w:rsidR="00831BA5">
        <w:rPr>
          <w:color w:val="212529"/>
          <w:shd w:val="clear" w:color="auto" w:fill="FFFFFF"/>
        </w:rPr>
        <w:t xml:space="preserve">. The current study begins to address this </w:t>
      </w:r>
      <w:r w:rsidR="000B4795">
        <w:rPr>
          <w:color w:val="212529"/>
          <w:shd w:val="clear" w:color="auto" w:fill="FFFFFF"/>
        </w:rPr>
        <w:t xml:space="preserve">line of inquiry </w:t>
      </w:r>
      <w:r w:rsidR="00831BA5">
        <w:rPr>
          <w:color w:val="212529"/>
          <w:shd w:val="clear" w:color="auto" w:fill="FFFFFF"/>
        </w:rPr>
        <w:t>and examines difference</w:t>
      </w:r>
      <w:r w:rsidR="00FB714B">
        <w:rPr>
          <w:color w:val="212529"/>
          <w:shd w:val="clear" w:color="auto" w:fill="FFFFFF"/>
        </w:rPr>
        <w:t>s</w:t>
      </w:r>
      <w:r w:rsidR="00831BA5">
        <w:rPr>
          <w:color w:val="212529"/>
          <w:shd w:val="clear" w:color="auto" w:fill="FFFFFF"/>
        </w:rPr>
        <w:t xml:space="preserve"> in concentrations of </w:t>
      </w:r>
      <w:r w:rsidR="00831BA5" w:rsidRPr="003526B8">
        <w:rPr>
          <w:color w:val="212529"/>
          <w:shd w:val="clear" w:color="auto" w:fill="FFFFFF"/>
        </w:rPr>
        <w:t>PM</w:t>
      </w:r>
      <w:r w:rsidR="00831BA5" w:rsidRPr="003526B8">
        <w:rPr>
          <w:color w:val="212529"/>
          <w:shd w:val="clear" w:color="auto" w:fill="FFFFFF"/>
          <w:vertAlign w:val="subscript"/>
        </w:rPr>
        <w:t>2.5</w:t>
      </w:r>
      <w:r w:rsidR="00831BA5">
        <w:rPr>
          <w:color w:val="212529"/>
          <w:shd w:val="clear" w:color="auto" w:fill="FFFFFF"/>
          <w:vertAlign w:val="subscript"/>
        </w:rPr>
        <w:t xml:space="preserve"> </w:t>
      </w:r>
      <w:r w:rsidR="00831BA5">
        <w:rPr>
          <w:color w:val="212529"/>
          <w:shd w:val="clear" w:color="auto" w:fill="FFFFFF"/>
        </w:rPr>
        <w:t xml:space="preserve">in counties with state-run </w:t>
      </w:r>
      <w:proofErr w:type="gramStart"/>
      <w:r w:rsidR="00831BA5">
        <w:rPr>
          <w:color w:val="212529"/>
          <w:shd w:val="clear" w:color="auto" w:fill="FFFFFF"/>
        </w:rPr>
        <w:t>correctional facilities</w:t>
      </w:r>
      <w:proofErr w:type="gramEnd"/>
      <w:r w:rsidR="00831BA5">
        <w:rPr>
          <w:color w:val="212529"/>
          <w:shd w:val="clear" w:color="auto" w:fill="FFFFFF"/>
        </w:rPr>
        <w:t xml:space="preserve"> relative to counties without state-run correctional facilities in Texas. </w:t>
      </w:r>
      <w:r w:rsidR="00831BA5">
        <w:rPr>
          <w:color w:val="212529"/>
          <w:shd w:val="clear" w:color="auto" w:fill="FFFFFF"/>
          <w:vertAlign w:val="subscript"/>
        </w:rPr>
        <w:t xml:space="preserve"> </w:t>
      </w:r>
    </w:p>
    <w:p w14:paraId="0D280345" w14:textId="46324843" w:rsidR="00622DFA" w:rsidRPr="00392719" w:rsidRDefault="00622DFA" w:rsidP="002A07B6">
      <w:pPr>
        <w:pStyle w:val="NormalWeb"/>
        <w:spacing w:before="0" w:beforeAutospacing="0" w:after="0" w:afterAutospacing="0" w:line="480" w:lineRule="auto"/>
        <w:rPr>
          <w:b/>
          <w:bCs/>
        </w:rPr>
      </w:pPr>
      <w:r w:rsidRPr="00392719">
        <w:rPr>
          <w:b/>
          <w:bCs/>
        </w:rPr>
        <w:t>Background</w:t>
      </w:r>
    </w:p>
    <w:p w14:paraId="120B1B35" w14:textId="0B6C4F9E" w:rsidR="00622DFA" w:rsidRDefault="00426350" w:rsidP="00273525">
      <w:pPr>
        <w:pStyle w:val="NormalWeb"/>
        <w:spacing w:before="0" w:beforeAutospacing="0" w:after="0" w:afterAutospacing="0" w:line="480" w:lineRule="auto"/>
      </w:pPr>
      <w:r>
        <w:rPr>
          <w:b/>
          <w:bCs/>
          <w:i/>
          <w:iCs/>
        </w:rPr>
        <w:t xml:space="preserve">Health Consequences </w:t>
      </w:r>
      <w:r w:rsidR="006868B8">
        <w:rPr>
          <w:b/>
          <w:bCs/>
          <w:i/>
          <w:iCs/>
        </w:rPr>
        <w:t xml:space="preserve">and Spatial Concentration </w:t>
      </w:r>
      <w:r>
        <w:rPr>
          <w:b/>
          <w:bCs/>
          <w:i/>
          <w:iCs/>
        </w:rPr>
        <w:t>of</w:t>
      </w:r>
      <w:r w:rsidR="006868B8">
        <w:rPr>
          <w:b/>
          <w:bCs/>
          <w:i/>
          <w:iCs/>
        </w:rPr>
        <w:t xml:space="preserve"> </w:t>
      </w:r>
      <w:r w:rsidR="006868B8" w:rsidRPr="006868B8">
        <w:rPr>
          <w:b/>
          <w:bCs/>
          <w:i/>
          <w:iCs/>
          <w:color w:val="212529"/>
          <w:shd w:val="clear" w:color="auto" w:fill="FFFFFF"/>
        </w:rPr>
        <w:t>PM</w:t>
      </w:r>
      <w:r w:rsidR="006868B8" w:rsidRPr="006868B8">
        <w:rPr>
          <w:b/>
          <w:bCs/>
          <w:i/>
          <w:iCs/>
          <w:color w:val="212529"/>
          <w:shd w:val="clear" w:color="auto" w:fill="FFFFFF"/>
          <w:vertAlign w:val="subscript"/>
        </w:rPr>
        <w:t>2.5</w:t>
      </w:r>
    </w:p>
    <w:p w14:paraId="1B8FC2B3" w14:textId="1F4F3A49" w:rsidR="007D44D9" w:rsidRDefault="00942C47" w:rsidP="00273525">
      <w:pPr>
        <w:spacing w:line="480" w:lineRule="auto"/>
      </w:pPr>
      <w:r>
        <w:lastRenderedPageBreak/>
        <w:t>Particulate matter</w:t>
      </w:r>
      <w:r w:rsidR="002A66B7">
        <w:t xml:space="preserve"> (PM)</w:t>
      </w:r>
      <w:r>
        <w:t xml:space="preserve"> </w:t>
      </w:r>
      <w:r w:rsidR="002A66B7">
        <w:t>consists of small particles in the air</w:t>
      </w:r>
      <w:r w:rsidR="001E22A3">
        <w:t xml:space="preserve"> </w:t>
      </w:r>
      <w:r w:rsidR="002A66B7">
        <w:t xml:space="preserve">(U.S. </w:t>
      </w:r>
      <w:r w:rsidR="002A66B7" w:rsidRPr="007C1005">
        <w:t>Environmental Protection Agency</w:t>
      </w:r>
      <w:r w:rsidR="002A66B7">
        <w:t xml:space="preserve">, </w:t>
      </w:r>
      <w:r w:rsidR="002A66B7" w:rsidRPr="007C1005">
        <w:t>20</w:t>
      </w:r>
      <w:r w:rsidR="003526B8">
        <w:t>21</w:t>
      </w:r>
      <w:r w:rsidR="002A66B7">
        <w:t xml:space="preserve">). These particles can come from a wide array of </w:t>
      </w:r>
      <w:r w:rsidR="00063161">
        <w:t xml:space="preserve">both anthropogenic and </w:t>
      </w:r>
      <w:r w:rsidR="00222A51">
        <w:t xml:space="preserve">natural </w:t>
      </w:r>
      <w:r w:rsidR="002A66B7">
        <w:t xml:space="preserve">sources such as </w:t>
      </w:r>
      <w:r w:rsidR="00063161">
        <w:t>motor vehicle exhaust</w:t>
      </w:r>
      <w:r w:rsidR="002A66B7">
        <w:t xml:space="preserve">, </w:t>
      </w:r>
      <w:r w:rsidR="00063161">
        <w:t>electricity production, pollen</w:t>
      </w:r>
      <w:r w:rsidR="002A66B7">
        <w:t xml:space="preserve">, and </w:t>
      </w:r>
      <w:r w:rsidR="00063161">
        <w:t>wildfires</w:t>
      </w:r>
      <w:r w:rsidR="002A66B7">
        <w:t xml:space="preserve">. PM comes in many sizes, and subscripts are used to differentiate between </w:t>
      </w:r>
      <w:r w:rsidR="00BF1601">
        <w:t xml:space="preserve">the different types. </w:t>
      </w:r>
      <w:r w:rsidR="002A66B7" w:rsidRPr="003526B8">
        <w:rPr>
          <w:color w:val="212529"/>
          <w:shd w:val="clear" w:color="auto" w:fill="FFFFFF"/>
        </w:rPr>
        <w:t>PM</w:t>
      </w:r>
      <w:r w:rsidR="002A66B7" w:rsidRPr="003526B8">
        <w:rPr>
          <w:color w:val="212529"/>
          <w:shd w:val="clear" w:color="auto" w:fill="FFFFFF"/>
          <w:vertAlign w:val="subscript"/>
        </w:rPr>
        <w:t>2.</w:t>
      </w:r>
      <w:r w:rsidR="003526B8" w:rsidRPr="003526B8">
        <w:rPr>
          <w:color w:val="212529"/>
          <w:shd w:val="clear" w:color="auto" w:fill="FFFFFF"/>
          <w:vertAlign w:val="subscript"/>
        </w:rPr>
        <w:t xml:space="preserve">5 </w:t>
      </w:r>
      <w:r w:rsidR="003526B8">
        <w:t>are small particles that have diameters smaller than 2.5 micrometers (</w:t>
      </w:r>
      <w:proofErr w:type="spellStart"/>
      <w:r w:rsidR="003526B8">
        <w:t>μm</w:t>
      </w:r>
      <w:proofErr w:type="spellEnd"/>
      <w:r w:rsidR="003526B8">
        <w:t>)</w:t>
      </w:r>
      <w:r w:rsidR="00D55EAC">
        <w:t xml:space="preserve"> and are associated with more serious health effects than larger PM particles</w:t>
      </w:r>
      <w:r w:rsidR="00D724F9">
        <w:t xml:space="preserve"> such as PM</w:t>
      </w:r>
      <w:r w:rsidR="00D724F9">
        <w:rPr>
          <w:vertAlign w:val="subscript"/>
        </w:rPr>
        <w:t>10</w:t>
      </w:r>
      <w:r w:rsidR="003526B8">
        <w:t>.</w:t>
      </w:r>
      <w:r w:rsidR="00063161">
        <w:t xml:space="preserve"> </w:t>
      </w:r>
      <w:r w:rsidR="00063161" w:rsidRPr="003526B8">
        <w:rPr>
          <w:color w:val="212529"/>
          <w:shd w:val="clear" w:color="auto" w:fill="FFFFFF"/>
        </w:rPr>
        <w:t>PM</w:t>
      </w:r>
      <w:r w:rsidR="00063161" w:rsidRPr="003526B8">
        <w:rPr>
          <w:color w:val="212529"/>
          <w:shd w:val="clear" w:color="auto" w:fill="FFFFFF"/>
          <w:vertAlign w:val="subscript"/>
        </w:rPr>
        <w:t>2.5</w:t>
      </w:r>
      <w:r w:rsidR="00063161">
        <w:rPr>
          <w:color w:val="212529"/>
          <w:shd w:val="clear" w:color="auto" w:fill="FFFFFF"/>
          <w:vertAlign w:val="subscript"/>
        </w:rPr>
        <w:t xml:space="preserve"> </w:t>
      </w:r>
      <w:r w:rsidR="00063161">
        <w:t xml:space="preserve">can stay in the air for longer than other types of pollution, sometimes weeks, </w:t>
      </w:r>
      <w:r w:rsidR="007D44D9">
        <w:t>which can be harmful as it is</w:t>
      </w:r>
      <w:r w:rsidR="00063161">
        <w:t xml:space="preserve"> associated with dozens of physical</w:t>
      </w:r>
      <w:r w:rsidR="006868B8">
        <w:t xml:space="preserve"> and cognitive</w:t>
      </w:r>
      <w:r w:rsidR="00063161">
        <w:t xml:space="preserve"> health problems (U.S. </w:t>
      </w:r>
      <w:r w:rsidR="00063161" w:rsidRPr="007C1005">
        <w:t>Environmental Protection Agency</w:t>
      </w:r>
      <w:r w:rsidR="00063161">
        <w:t xml:space="preserve">, </w:t>
      </w:r>
      <w:r w:rsidR="00063161" w:rsidRPr="007C1005">
        <w:t>20</w:t>
      </w:r>
      <w:r w:rsidR="00063161">
        <w:t xml:space="preserve">21; </w:t>
      </w:r>
      <w:r w:rsidR="00063161" w:rsidRPr="00E32306">
        <w:rPr>
          <w:color w:val="222222"/>
          <w:shd w:val="clear" w:color="auto" w:fill="FFFFFF"/>
        </w:rPr>
        <w:t>Xing</w:t>
      </w:r>
      <w:r w:rsidR="00063161">
        <w:rPr>
          <w:color w:val="222222"/>
          <w:shd w:val="clear" w:color="auto" w:fill="FFFFFF"/>
        </w:rPr>
        <w:t xml:space="preserve"> et al., 2016</w:t>
      </w:r>
      <w:r w:rsidR="00063161">
        <w:t>).</w:t>
      </w:r>
      <w:r w:rsidR="006868B8">
        <w:t xml:space="preserve"> </w:t>
      </w:r>
    </w:p>
    <w:p w14:paraId="6C612685" w14:textId="13288758" w:rsidR="00942C47" w:rsidRPr="00CB40E2" w:rsidRDefault="006868B8" w:rsidP="00273525">
      <w:pPr>
        <w:spacing w:line="480" w:lineRule="auto"/>
        <w:ind w:firstLine="360"/>
        <w:rPr>
          <w:color w:val="212121"/>
          <w:shd w:val="clear" w:color="auto" w:fill="FFFFFF"/>
        </w:rPr>
      </w:pPr>
      <w:r>
        <w:t xml:space="preserve">More precisely, </w:t>
      </w:r>
      <w:r>
        <w:rPr>
          <w:color w:val="212529"/>
          <w:shd w:val="clear" w:color="auto" w:fill="FFFFFF"/>
        </w:rPr>
        <w:t>e</w:t>
      </w:r>
      <w:r w:rsidR="008011CC">
        <w:rPr>
          <w:color w:val="212529"/>
          <w:shd w:val="clear" w:color="auto" w:fill="FFFFFF"/>
        </w:rPr>
        <w:t xml:space="preserve">xposure to high levels of </w:t>
      </w:r>
      <w:r w:rsidR="00063161" w:rsidRPr="003526B8">
        <w:rPr>
          <w:color w:val="212529"/>
          <w:shd w:val="clear" w:color="auto" w:fill="FFFFFF"/>
        </w:rPr>
        <w:t>PM</w:t>
      </w:r>
      <w:r w:rsidR="00063161" w:rsidRPr="003526B8">
        <w:rPr>
          <w:color w:val="212529"/>
          <w:shd w:val="clear" w:color="auto" w:fill="FFFFFF"/>
          <w:vertAlign w:val="subscript"/>
        </w:rPr>
        <w:t>2.5</w:t>
      </w:r>
      <w:r w:rsidR="008011CC">
        <w:rPr>
          <w:color w:val="212529"/>
          <w:shd w:val="clear" w:color="auto" w:fill="FFFFFF"/>
          <w:vertAlign w:val="subscript"/>
        </w:rPr>
        <w:t xml:space="preserve"> </w:t>
      </w:r>
      <w:r w:rsidR="008011CC">
        <w:t xml:space="preserve">is linked to </w:t>
      </w:r>
      <w:r>
        <w:t>breathing difficulties, cancer, impaired learning and memory, asthma, reduced lung function</w:t>
      </w:r>
      <w:r w:rsidR="00EC4E6F">
        <w:t>, and death</w:t>
      </w:r>
      <w:r w:rsidR="007D44D9">
        <w:t xml:space="preserve"> (U.S. </w:t>
      </w:r>
      <w:r w:rsidR="007D44D9" w:rsidRPr="007C1005">
        <w:t>Environmental Protection Agency</w:t>
      </w:r>
      <w:r w:rsidR="007D44D9">
        <w:t xml:space="preserve">, </w:t>
      </w:r>
      <w:r w:rsidR="007D44D9" w:rsidRPr="007C1005">
        <w:t>20</w:t>
      </w:r>
      <w:r w:rsidR="007D44D9">
        <w:t xml:space="preserve">21; </w:t>
      </w:r>
      <w:r w:rsidR="007D44D9" w:rsidRPr="00E32306">
        <w:rPr>
          <w:color w:val="222222"/>
          <w:shd w:val="clear" w:color="auto" w:fill="FFFFFF"/>
        </w:rPr>
        <w:t>Xing</w:t>
      </w:r>
      <w:r w:rsidR="007D44D9">
        <w:rPr>
          <w:color w:val="222222"/>
          <w:shd w:val="clear" w:color="auto" w:fill="FFFFFF"/>
        </w:rPr>
        <w:t xml:space="preserve"> et al., 2016</w:t>
      </w:r>
      <w:r w:rsidR="00AE38B1">
        <w:rPr>
          <w:color w:val="222222"/>
          <w:shd w:val="clear" w:color="auto" w:fill="FFFFFF"/>
        </w:rPr>
        <w:t>)</w:t>
      </w:r>
      <w:r>
        <w:t xml:space="preserve">. </w:t>
      </w:r>
      <w:r w:rsidRPr="003526B8">
        <w:rPr>
          <w:color w:val="212529"/>
          <w:shd w:val="clear" w:color="auto" w:fill="FFFFFF"/>
        </w:rPr>
        <w:t>PM</w:t>
      </w:r>
      <w:r w:rsidRPr="003526B8">
        <w:rPr>
          <w:color w:val="212529"/>
          <w:shd w:val="clear" w:color="auto" w:fill="FFFFFF"/>
          <w:vertAlign w:val="subscript"/>
        </w:rPr>
        <w:t>2.5</w:t>
      </w:r>
      <w:r>
        <w:rPr>
          <w:color w:val="212529"/>
          <w:shd w:val="clear" w:color="auto" w:fill="FFFFFF"/>
          <w:vertAlign w:val="subscript"/>
        </w:rPr>
        <w:t xml:space="preserve"> </w:t>
      </w:r>
      <w:r>
        <w:t xml:space="preserve">can also increase the </w:t>
      </w:r>
      <w:r>
        <w:rPr>
          <w:color w:val="212121"/>
          <w:shd w:val="clear" w:color="auto" w:fill="FFFFFF"/>
        </w:rPr>
        <w:t xml:space="preserve">production of free radicals in the body </w:t>
      </w:r>
      <w:r w:rsidR="0053045F">
        <w:rPr>
          <w:color w:val="212121"/>
          <w:shd w:val="clear" w:color="auto" w:fill="FFFFFF"/>
        </w:rPr>
        <w:t xml:space="preserve">and this increase </w:t>
      </w:r>
      <w:r>
        <w:rPr>
          <w:color w:val="212121"/>
          <w:shd w:val="clear" w:color="auto" w:fill="FFFFFF"/>
        </w:rPr>
        <w:t xml:space="preserve">can </w:t>
      </w:r>
      <w:r w:rsidR="0053045F">
        <w:rPr>
          <w:color w:val="212121"/>
          <w:shd w:val="clear" w:color="auto" w:fill="FFFFFF"/>
        </w:rPr>
        <w:t>result in</w:t>
      </w:r>
      <w:r>
        <w:rPr>
          <w:color w:val="212121"/>
          <w:shd w:val="clear" w:color="auto" w:fill="FFFFFF"/>
        </w:rPr>
        <w:t xml:space="preserve"> DNA damage and faster somatic aging</w:t>
      </w:r>
      <w:r w:rsidR="00823B4D">
        <w:rPr>
          <w:color w:val="212121"/>
          <w:shd w:val="clear" w:color="auto" w:fill="FFFFFF"/>
        </w:rPr>
        <w:t xml:space="preserve"> (</w:t>
      </w:r>
      <w:proofErr w:type="spellStart"/>
      <w:r w:rsidR="00823B4D" w:rsidRPr="006868B8">
        <w:rPr>
          <w:color w:val="222222"/>
          <w:shd w:val="clear" w:color="auto" w:fill="FFFFFF"/>
        </w:rPr>
        <w:t>Barja</w:t>
      </w:r>
      <w:proofErr w:type="spellEnd"/>
      <w:r w:rsidR="00823B4D">
        <w:rPr>
          <w:color w:val="222222"/>
          <w:shd w:val="clear" w:color="auto" w:fill="FFFFFF"/>
        </w:rPr>
        <w:t>, 2004)</w:t>
      </w:r>
      <w:r>
        <w:rPr>
          <w:color w:val="212121"/>
          <w:shd w:val="clear" w:color="auto" w:fill="FFFFFF"/>
        </w:rPr>
        <w:t xml:space="preserve">. </w:t>
      </w:r>
      <w:r w:rsidR="00CB40E2">
        <w:rPr>
          <w:color w:val="212121"/>
          <w:shd w:val="clear" w:color="auto" w:fill="FFFFFF"/>
        </w:rPr>
        <w:t xml:space="preserve">While the </w:t>
      </w:r>
      <w:r w:rsidR="00CB40E2">
        <w:t xml:space="preserve">U.S. </w:t>
      </w:r>
      <w:r w:rsidR="00CB40E2" w:rsidRPr="007C1005">
        <w:t>Environmental Protection Agency</w:t>
      </w:r>
      <w:r w:rsidR="00BF43F3">
        <w:t xml:space="preserve"> (EPA)</w:t>
      </w:r>
      <w:r w:rsidR="00CB40E2">
        <w:t xml:space="preserve"> standard for annual </w:t>
      </w:r>
      <w:r w:rsidR="00CB40E2" w:rsidRPr="006C392A">
        <w:rPr>
          <w:color w:val="212529"/>
          <w:shd w:val="clear" w:color="auto" w:fill="FFFFFF"/>
        </w:rPr>
        <w:t>PM</w:t>
      </w:r>
      <w:r w:rsidR="00CB40E2" w:rsidRPr="006C392A">
        <w:rPr>
          <w:color w:val="212529"/>
          <w:shd w:val="clear" w:color="auto" w:fill="FFFFFF"/>
          <w:vertAlign w:val="subscript"/>
        </w:rPr>
        <w:t xml:space="preserve">2.5 </w:t>
      </w:r>
      <w:r w:rsidR="00CB40E2">
        <w:t>concentration is 12.0 µg/m</w:t>
      </w:r>
      <w:r w:rsidR="00CB40E2" w:rsidRPr="00B30B17">
        <w:rPr>
          <w:vertAlign w:val="superscript"/>
        </w:rPr>
        <w:t>3</w:t>
      </w:r>
      <w:r w:rsidR="00CB40E2">
        <w:t xml:space="preserve">, these side effects can occur from exposure to lower </w:t>
      </w:r>
      <w:r w:rsidR="00CB40E2" w:rsidRPr="006C392A">
        <w:rPr>
          <w:color w:val="212529"/>
          <w:shd w:val="clear" w:color="auto" w:fill="FFFFFF"/>
        </w:rPr>
        <w:t>PM</w:t>
      </w:r>
      <w:r w:rsidR="00CB40E2" w:rsidRPr="006C392A">
        <w:rPr>
          <w:color w:val="212529"/>
          <w:shd w:val="clear" w:color="auto" w:fill="FFFFFF"/>
          <w:vertAlign w:val="subscript"/>
        </w:rPr>
        <w:t>2.5</w:t>
      </w:r>
      <w:r w:rsidR="00CB40E2">
        <w:rPr>
          <w:color w:val="212529"/>
          <w:shd w:val="clear" w:color="auto" w:fill="FFFFFF"/>
          <w:vertAlign w:val="subscript"/>
        </w:rPr>
        <w:t xml:space="preserve"> </w:t>
      </w:r>
      <w:r w:rsidR="00CB40E2">
        <w:rPr>
          <w:color w:val="212121"/>
          <w:shd w:val="clear" w:color="auto" w:fill="FFFFFF"/>
        </w:rPr>
        <w:t xml:space="preserve">levels as well. In serious cases, these side effects can result in mortality. </w:t>
      </w:r>
      <w:r w:rsidR="00C45DC3">
        <w:rPr>
          <w:color w:val="212121"/>
          <w:shd w:val="clear" w:color="auto" w:fill="FFFFFF"/>
        </w:rPr>
        <w:t xml:space="preserve">Past research estimated that the risk of death increased by 4% for every additional 10 </w:t>
      </w:r>
      <w:r w:rsidR="00C45DC3">
        <w:t>µg/m</w:t>
      </w:r>
      <w:r w:rsidR="00C45DC3" w:rsidRPr="00B30B17">
        <w:rPr>
          <w:vertAlign w:val="superscript"/>
        </w:rPr>
        <w:t>3</w:t>
      </w:r>
      <w:r w:rsidR="00C45DC3">
        <w:rPr>
          <w:vertAlign w:val="superscript"/>
        </w:rPr>
        <w:t xml:space="preserve"> </w:t>
      </w:r>
      <w:r w:rsidR="00C45DC3" w:rsidRPr="003526B8">
        <w:rPr>
          <w:color w:val="212529"/>
          <w:shd w:val="clear" w:color="auto" w:fill="FFFFFF"/>
        </w:rPr>
        <w:t>PM</w:t>
      </w:r>
      <w:r w:rsidR="00C45DC3" w:rsidRPr="003526B8">
        <w:rPr>
          <w:color w:val="212529"/>
          <w:shd w:val="clear" w:color="auto" w:fill="FFFFFF"/>
          <w:vertAlign w:val="subscript"/>
        </w:rPr>
        <w:t>2.</w:t>
      </w:r>
      <w:proofErr w:type="gramStart"/>
      <w:r w:rsidR="00C45DC3" w:rsidRPr="003526B8">
        <w:rPr>
          <w:color w:val="212529"/>
          <w:shd w:val="clear" w:color="auto" w:fill="FFFFFF"/>
          <w:vertAlign w:val="subscript"/>
        </w:rPr>
        <w:t>5</w:t>
      </w:r>
      <w:r w:rsidR="00C45DC3">
        <w:rPr>
          <w:color w:val="212529"/>
          <w:shd w:val="clear" w:color="auto" w:fill="FFFFFF"/>
          <w:vertAlign w:val="subscript"/>
        </w:rPr>
        <w:t xml:space="preserve">  </w:t>
      </w:r>
      <w:r w:rsidR="00BF43F3">
        <w:rPr>
          <w:color w:val="212529"/>
          <w:shd w:val="clear" w:color="auto" w:fill="FFFFFF"/>
        </w:rPr>
        <w:t>to</w:t>
      </w:r>
      <w:proofErr w:type="gramEnd"/>
      <w:r w:rsidR="00BF43F3">
        <w:rPr>
          <w:color w:val="212529"/>
          <w:shd w:val="clear" w:color="auto" w:fill="FFFFFF"/>
        </w:rPr>
        <w:t xml:space="preserve"> which a</w:t>
      </w:r>
      <w:r w:rsidR="00EF7324">
        <w:rPr>
          <w:color w:val="212529"/>
          <w:shd w:val="clear" w:color="auto" w:fill="FFFFFF"/>
        </w:rPr>
        <w:t xml:space="preserve"> person was exposed </w:t>
      </w:r>
      <w:r w:rsidR="00C45DC3">
        <w:rPr>
          <w:color w:val="212529"/>
          <w:shd w:val="clear" w:color="auto" w:fill="FFFFFF"/>
        </w:rPr>
        <w:t xml:space="preserve">(Pope et al., 2002). </w:t>
      </w:r>
      <w:r w:rsidR="00EB3C42">
        <w:rPr>
          <w:color w:val="212121"/>
          <w:shd w:val="clear" w:color="auto" w:fill="FFFFFF"/>
        </w:rPr>
        <w:t>It</w:t>
      </w:r>
      <w:r w:rsidR="00EC4E6F">
        <w:rPr>
          <w:color w:val="212121"/>
          <w:shd w:val="clear" w:color="auto" w:fill="FFFFFF"/>
        </w:rPr>
        <w:t xml:space="preserve"> is estimated that over three million deaths </w:t>
      </w:r>
      <w:r w:rsidR="0046625D">
        <w:rPr>
          <w:color w:val="212121"/>
          <w:shd w:val="clear" w:color="auto" w:fill="FFFFFF"/>
        </w:rPr>
        <w:t xml:space="preserve">worldwide </w:t>
      </w:r>
      <w:r w:rsidR="00EC4E6F">
        <w:rPr>
          <w:color w:val="212121"/>
          <w:shd w:val="clear" w:color="auto" w:fill="FFFFFF"/>
        </w:rPr>
        <w:t xml:space="preserve">were caused by side effects of </w:t>
      </w:r>
      <w:r w:rsidR="00EC4E6F" w:rsidRPr="003526B8">
        <w:rPr>
          <w:color w:val="212529"/>
          <w:shd w:val="clear" w:color="auto" w:fill="FFFFFF"/>
        </w:rPr>
        <w:t>PM</w:t>
      </w:r>
      <w:r w:rsidR="00EC4E6F" w:rsidRPr="003526B8">
        <w:rPr>
          <w:color w:val="212529"/>
          <w:shd w:val="clear" w:color="auto" w:fill="FFFFFF"/>
          <w:vertAlign w:val="subscript"/>
        </w:rPr>
        <w:t>2.5</w:t>
      </w:r>
      <w:r w:rsidR="00EC4E6F">
        <w:rPr>
          <w:color w:val="212529"/>
          <w:shd w:val="clear" w:color="auto" w:fill="FFFFFF"/>
          <w:vertAlign w:val="subscript"/>
        </w:rPr>
        <w:t xml:space="preserve"> </w:t>
      </w:r>
      <w:r w:rsidR="00EC4E6F">
        <w:t>exposure in 2010 (</w:t>
      </w:r>
      <w:proofErr w:type="spellStart"/>
      <w:r w:rsidR="00EC4E6F">
        <w:t>Apte</w:t>
      </w:r>
      <w:proofErr w:type="spellEnd"/>
      <w:r w:rsidR="00EC4E6F">
        <w:t xml:space="preserve"> et al., 2015). </w:t>
      </w:r>
      <w:r w:rsidR="00BF43F3">
        <w:t>In addition, c</w:t>
      </w:r>
      <w:r w:rsidR="00EC4E6F">
        <w:t>limate</w:t>
      </w:r>
      <w:r w:rsidR="00BC37EC">
        <w:t xml:space="preserve"> and health</w:t>
      </w:r>
      <w:r w:rsidR="00EC4E6F">
        <w:t xml:space="preserve"> experts estimate that between 85,000 to 200,000 Americans die every year due to the harmful effects of </w:t>
      </w:r>
      <w:r w:rsidR="00EC4E6F" w:rsidRPr="003526B8">
        <w:rPr>
          <w:color w:val="212529"/>
          <w:shd w:val="clear" w:color="auto" w:fill="FFFFFF"/>
        </w:rPr>
        <w:t>PM</w:t>
      </w:r>
      <w:r w:rsidR="00EC4E6F" w:rsidRPr="003526B8">
        <w:rPr>
          <w:color w:val="212529"/>
          <w:shd w:val="clear" w:color="auto" w:fill="FFFFFF"/>
          <w:vertAlign w:val="subscript"/>
        </w:rPr>
        <w:t>2.5</w:t>
      </w:r>
      <w:r w:rsidR="001D182B">
        <w:rPr>
          <w:color w:val="212529"/>
          <w:shd w:val="clear" w:color="auto" w:fill="FFFFFF"/>
          <w:vertAlign w:val="subscript"/>
        </w:rPr>
        <w:t xml:space="preserve"> </w:t>
      </w:r>
      <w:r w:rsidR="001D182B">
        <w:t>(</w:t>
      </w:r>
      <w:proofErr w:type="spellStart"/>
      <w:r w:rsidR="001D182B">
        <w:t>Apte</w:t>
      </w:r>
      <w:proofErr w:type="spellEnd"/>
      <w:r w:rsidR="001D182B">
        <w:t xml:space="preserve"> et al., 2015</w:t>
      </w:r>
      <w:r w:rsidR="00300C47">
        <w:t xml:space="preserve">; </w:t>
      </w:r>
      <w:proofErr w:type="spellStart"/>
      <w:r w:rsidR="00300C47">
        <w:t>Tessum</w:t>
      </w:r>
      <w:proofErr w:type="spellEnd"/>
      <w:r w:rsidR="00300C47">
        <w:t xml:space="preserve"> et al., 2021</w:t>
      </w:r>
      <w:r w:rsidR="001D182B">
        <w:t>)</w:t>
      </w:r>
      <w:r w:rsidR="00EC4E6F">
        <w:t>.</w:t>
      </w:r>
    </w:p>
    <w:p w14:paraId="109F5D36" w14:textId="61D02BF6" w:rsidR="00F253A3" w:rsidRPr="00C234D3" w:rsidRDefault="007D44D9" w:rsidP="00273525">
      <w:pPr>
        <w:spacing w:line="480" w:lineRule="auto"/>
        <w:rPr>
          <w:color w:val="000000" w:themeColor="text1"/>
        </w:rPr>
      </w:pPr>
      <w:r>
        <w:tab/>
      </w:r>
      <w:r w:rsidR="00045541">
        <w:t xml:space="preserve">While many people </w:t>
      </w:r>
      <w:r w:rsidR="00BF43F3">
        <w:t xml:space="preserve">in the U.S. </w:t>
      </w:r>
      <w:r w:rsidR="00045541">
        <w:t xml:space="preserve">die </w:t>
      </w:r>
      <w:r w:rsidR="001E22A3">
        <w:t>because of</w:t>
      </w:r>
      <w:r w:rsidR="00045541">
        <w:t xml:space="preserve"> </w:t>
      </w:r>
      <w:r w:rsidR="00045541" w:rsidRPr="006C392A">
        <w:rPr>
          <w:color w:val="212529"/>
          <w:shd w:val="clear" w:color="auto" w:fill="FFFFFF"/>
        </w:rPr>
        <w:t>PM</w:t>
      </w:r>
      <w:r w:rsidR="00045541" w:rsidRPr="006C392A">
        <w:rPr>
          <w:color w:val="212529"/>
          <w:shd w:val="clear" w:color="auto" w:fill="FFFFFF"/>
          <w:vertAlign w:val="subscript"/>
        </w:rPr>
        <w:t xml:space="preserve">2.5 </w:t>
      </w:r>
      <w:r w:rsidR="00045541">
        <w:t xml:space="preserve">exposure every year, the fraction of overall deaths associated with </w:t>
      </w:r>
      <w:r w:rsidR="00045541" w:rsidRPr="006C392A">
        <w:rPr>
          <w:color w:val="212529"/>
          <w:shd w:val="clear" w:color="auto" w:fill="FFFFFF"/>
        </w:rPr>
        <w:t>PM</w:t>
      </w:r>
      <w:r w:rsidR="00045541" w:rsidRPr="006C392A">
        <w:rPr>
          <w:color w:val="212529"/>
          <w:shd w:val="clear" w:color="auto" w:fill="FFFFFF"/>
          <w:vertAlign w:val="subscript"/>
        </w:rPr>
        <w:t xml:space="preserve">2.5 </w:t>
      </w:r>
      <w:r w:rsidR="000C4B3B">
        <w:t>has been</w:t>
      </w:r>
      <w:r w:rsidR="00045541">
        <w:t xml:space="preserve"> lower in recent years relative to </w:t>
      </w:r>
      <w:r w:rsidR="00F8419C">
        <w:t xml:space="preserve">what it was </w:t>
      </w:r>
      <w:r w:rsidR="00045541">
        <w:t xml:space="preserve">in the </w:t>
      </w:r>
      <w:r w:rsidR="00045541">
        <w:lastRenderedPageBreak/>
        <w:t>past (</w:t>
      </w:r>
      <w:proofErr w:type="spellStart"/>
      <w:r w:rsidR="00045541">
        <w:t>Fann</w:t>
      </w:r>
      <w:proofErr w:type="spellEnd"/>
      <w:r w:rsidR="00045541">
        <w:t xml:space="preserve"> et al., 2018). </w:t>
      </w:r>
      <w:r w:rsidR="00BC37EC">
        <w:t xml:space="preserve">This is likely </w:t>
      </w:r>
      <w:r w:rsidR="00D26C76">
        <w:t>because</w:t>
      </w:r>
      <w:r w:rsidR="00BC37EC">
        <w:t xml:space="preserve"> the overall concentration of </w:t>
      </w:r>
      <w:r w:rsidR="00BC37EC" w:rsidRPr="006C392A">
        <w:rPr>
          <w:color w:val="212529"/>
          <w:shd w:val="clear" w:color="auto" w:fill="FFFFFF"/>
        </w:rPr>
        <w:t>PM</w:t>
      </w:r>
      <w:r w:rsidR="00BC37EC" w:rsidRPr="006C392A">
        <w:rPr>
          <w:color w:val="212529"/>
          <w:shd w:val="clear" w:color="auto" w:fill="FFFFFF"/>
          <w:vertAlign w:val="subscript"/>
        </w:rPr>
        <w:t xml:space="preserve">2.5 </w:t>
      </w:r>
      <w:r w:rsidR="00BC37EC">
        <w:t>ha</w:t>
      </w:r>
      <w:r w:rsidR="00FB714B">
        <w:t>s</w:t>
      </w:r>
      <w:r w:rsidR="00BC37EC">
        <w:t xml:space="preserve"> </w:t>
      </w:r>
      <w:r w:rsidR="00045541">
        <w:t>decreased</w:t>
      </w:r>
      <w:r w:rsidR="00BC37EC">
        <w:t xml:space="preserve"> for nearly two decades</w:t>
      </w:r>
      <w:r w:rsidR="00BF43F3">
        <w:t xml:space="preserve"> in the U.S.</w:t>
      </w:r>
      <w:r w:rsidR="00BC37EC">
        <w:t xml:space="preserve"> (</w:t>
      </w:r>
      <w:r w:rsidR="0018086C">
        <w:t xml:space="preserve">Colmer et al., 2020; </w:t>
      </w:r>
      <w:proofErr w:type="spellStart"/>
      <w:r w:rsidR="00045541">
        <w:t>Fann</w:t>
      </w:r>
      <w:proofErr w:type="spellEnd"/>
      <w:r w:rsidR="00045541">
        <w:t xml:space="preserve"> et al., 2018</w:t>
      </w:r>
      <w:r w:rsidR="00BC37EC">
        <w:t>).</w:t>
      </w:r>
      <w:r w:rsidR="005B2C4D" w:rsidRPr="005551CD">
        <w:rPr>
          <w:color w:val="000000" w:themeColor="text1"/>
        </w:rPr>
        <w:t xml:space="preserve"> This decrease is primarily the result of</w:t>
      </w:r>
      <w:r w:rsidR="005C0E91" w:rsidRPr="005551CD">
        <w:rPr>
          <w:color w:val="000000" w:themeColor="text1"/>
        </w:rPr>
        <w:t xml:space="preserve"> changing energy sources in the U.S., from burning coal and other fossil fuels that release many harmful emissions into the atmosphere, to using more natural and renewable energy sources, which do not release as many harmful emissions (</w:t>
      </w:r>
      <w:r w:rsidR="005551CD" w:rsidRPr="005551CD">
        <w:rPr>
          <w:color w:val="000000" w:themeColor="text1"/>
        </w:rPr>
        <w:t xml:space="preserve">Davis, 2022; </w:t>
      </w:r>
      <w:r w:rsidR="00C93584" w:rsidRPr="005551CD">
        <w:rPr>
          <w:color w:val="000000" w:themeColor="text1"/>
        </w:rPr>
        <w:t>Di et a</w:t>
      </w:r>
      <w:r w:rsidR="00C93584" w:rsidRPr="00C234D3">
        <w:rPr>
          <w:color w:val="000000" w:themeColor="text1"/>
        </w:rPr>
        <w:t>l., 2016</w:t>
      </w:r>
      <w:r w:rsidR="005C0E91" w:rsidRPr="00C234D3">
        <w:rPr>
          <w:color w:val="000000" w:themeColor="text1"/>
        </w:rPr>
        <w:t xml:space="preserve">). </w:t>
      </w:r>
      <w:r w:rsidR="00886A5E" w:rsidRPr="00C234D3">
        <w:rPr>
          <w:color w:val="000000" w:themeColor="text1"/>
        </w:rPr>
        <w:t xml:space="preserve">Despite this overall decrease, </w:t>
      </w:r>
      <w:r w:rsidR="00886A5E" w:rsidRPr="00C234D3">
        <w:rPr>
          <w:color w:val="000000" w:themeColor="text1"/>
          <w:shd w:val="clear" w:color="auto" w:fill="FFFFFF"/>
        </w:rPr>
        <w:t>PM</w:t>
      </w:r>
      <w:r w:rsidR="00886A5E" w:rsidRPr="00C234D3">
        <w:rPr>
          <w:color w:val="000000" w:themeColor="text1"/>
          <w:shd w:val="clear" w:color="auto" w:fill="FFFFFF"/>
          <w:vertAlign w:val="subscript"/>
        </w:rPr>
        <w:t xml:space="preserve">2.5 </w:t>
      </w:r>
      <w:r w:rsidR="00886A5E" w:rsidRPr="00C234D3">
        <w:rPr>
          <w:color w:val="000000" w:themeColor="text1"/>
        </w:rPr>
        <w:t>is not distributed</w:t>
      </w:r>
      <w:r w:rsidR="00BF43F3" w:rsidRPr="00C234D3">
        <w:rPr>
          <w:color w:val="000000" w:themeColor="text1"/>
        </w:rPr>
        <w:t xml:space="preserve"> equally</w:t>
      </w:r>
      <w:r w:rsidR="00886A5E" w:rsidRPr="00C234D3">
        <w:rPr>
          <w:color w:val="000000" w:themeColor="text1"/>
        </w:rPr>
        <w:t xml:space="preserve"> throughout space (Colmer et al., 2020).</w:t>
      </w:r>
      <w:r w:rsidR="00C27E5C" w:rsidRPr="00C234D3">
        <w:rPr>
          <w:color w:val="000000" w:themeColor="text1"/>
        </w:rPr>
        <w:t xml:space="preserve"> Rather, there are large disparities in </w:t>
      </w:r>
      <w:r w:rsidR="00C27E5C" w:rsidRPr="00C234D3">
        <w:rPr>
          <w:color w:val="000000" w:themeColor="text1"/>
          <w:shd w:val="clear" w:color="auto" w:fill="FFFFFF"/>
        </w:rPr>
        <w:t>PM</w:t>
      </w:r>
      <w:r w:rsidR="00C27E5C" w:rsidRPr="00C234D3">
        <w:rPr>
          <w:color w:val="000000" w:themeColor="text1"/>
          <w:shd w:val="clear" w:color="auto" w:fill="FFFFFF"/>
          <w:vertAlign w:val="subscript"/>
        </w:rPr>
        <w:t xml:space="preserve">2.5 </w:t>
      </w:r>
      <w:r w:rsidR="00C27E5C" w:rsidRPr="00C234D3">
        <w:rPr>
          <w:color w:val="000000" w:themeColor="text1"/>
        </w:rPr>
        <w:t>concentration</w:t>
      </w:r>
      <w:r w:rsidR="003D69C5" w:rsidRPr="00C234D3">
        <w:rPr>
          <w:color w:val="000000" w:themeColor="text1"/>
        </w:rPr>
        <w:t xml:space="preserve">s </w:t>
      </w:r>
      <w:r w:rsidR="00C27E5C" w:rsidRPr="00C234D3">
        <w:rPr>
          <w:color w:val="000000" w:themeColor="text1"/>
        </w:rPr>
        <w:t xml:space="preserve">that exist throughout the country. </w:t>
      </w:r>
      <w:r w:rsidR="006C392A" w:rsidRPr="00C234D3">
        <w:rPr>
          <w:color w:val="000000" w:themeColor="text1"/>
        </w:rPr>
        <w:t xml:space="preserve">More specifically, </w:t>
      </w:r>
      <w:r w:rsidR="006C392A" w:rsidRPr="00C234D3">
        <w:rPr>
          <w:color w:val="000000" w:themeColor="text1"/>
          <w:shd w:val="clear" w:color="auto" w:fill="FFFFFF"/>
        </w:rPr>
        <w:t>relative to White Americans, PM</w:t>
      </w:r>
      <w:r w:rsidR="006C392A" w:rsidRPr="00C234D3">
        <w:rPr>
          <w:color w:val="000000" w:themeColor="text1"/>
          <w:shd w:val="clear" w:color="auto" w:fill="FFFFFF"/>
          <w:vertAlign w:val="subscript"/>
        </w:rPr>
        <w:t xml:space="preserve">2.5 </w:t>
      </w:r>
      <w:r w:rsidR="006C392A" w:rsidRPr="00C234D3">
        <w:rPr>
          <w:color w:val="000000" w:themeColor="text1"/>
          <w:shd w:val="clear" w:color="auto" w:fill="FFFFFF"/>
        </w:rPr>
        <w:t xml:space="preserve">exposure is greater for </w:t>
      </w:r>
      <w:r w:rsidR="008E4639" w:rsidRPr="00C234D3">
        <w:rPr>
          <w:color w:val="000000" w:themeColor="text1"/>
          <w:shd w:val="clear" w:color="auto" w:fill="FFFFFF"/>
        </w:rPr>
        <w:t>similarly situated</w:t>
      </w:r>
      <w:r w:rsidR="006C392A" w:rsidRPr="00C234D3">
        <w:rPr>
          <w:color w:val="000000" w:themeColor="text1"/>
          <w:shd w:val="clear" w:color="auto" w:fill="FFFFFF"/>
        </w:rPr>
        <w:t xml:space="preserve"> Black, Hispanic, and Asian Americans (</w:t>
      </w:r>
      <w:proofErr w:type="spellStart"/>
      <w:r w:rsidR="008E4639" w:rsidRPr="00C234D3">
        <w:rPr>
          <w:color w:val="000000" w:themeColor="text1"/>
          <w:shd w:val="clear" w:color="auto" w:fill="FFFFFF"/>
        </w:rPr>
        <w:t>Tessum</w:t>
      </w:r>
      <w:proofErr w:type="spellEnd"/>
      <w:r w:rsidR="008E4639" w:rsidRPr="00C234D3">
        <w:rPr>
          <w:color w:val="000000" w:themeColor="text1"/>
          <w:shd w:val="clear" w:color="auto" w:fill="FFFFFF"/>
        </w:rPr>
        <w:t xml:space="preserve"> et al., 2021</w:t>
      </w:r>
      <w:r w:rsidR="006C392A" w:rsidRPr="00C234D3">
        <w:rPr>
          <w:color w:val="000000" w:themeColor="text1"/>
          <w:shd w:val="clear" w:color="auto" w:fill="FFFFFF"/>
        </w:rPr>
        <w:t>)</w:t>
      </w:r>
      <w:r w:rsidR="008E4639" w:rsidRPr="00C234D3">
        <w:rPr>
          <w:color w:val="000000" w:themeColor="text1"/>
          <w:shd w:val="clear" w:color="auto" w:fill="FFFFFF"/>
        </w:rPr>
        <w:t xml:space="preserve">. </w:t>
      </w:r>
      <w:r w:rsidR="00FB10D3" w:rsidRPr="00C234D3">
        <w:rPr>
          <w:color w:val="000000" w:themeColor="text1"/>
          <w:shd w:val="clear" w:color="auto" w:fill="FFFFFF"/>
        </w:rPr>
        <w:t>E</w:t>
      </w:r>
      <w:r w:rsidR="00520A7C" w:rsidRPr="00C234D3">
        <w:rPr>
          <w:color w:val="000000" w:themeColor="text1"/>
          <w:shd w:val="clear" w:color="auto" w:fill="FFFFFF"/>
        </w:rPr>
        <w:t>ven though the national average PM</w:t>
      </w:r>
      <w:r w:rsidR="00520A7C" w:rsidRPr="00C234D3">
        <w:rPr>
          <w:color w:val="000000" w:themeColor="text1"/>
          <w:shd w:val="clear" w:color="auto" w:fill="FFFFFF"/>
          <w:vertAlign w:val="subscript"/>
        </w:rPr>
        <w:t xml:space="preserve">2.5 </w:t>
      </w:r>
      <w:r w:rsidR="00520A7C" w:rsidRPr="00C234D3">
        <w:rPr>
          <w:color w:val="000000" w:themeColor="text1"/>
          <w:shd w:val="clear" w:color="auto" w:fill="FFFFFF"/>
        </w:rPr>
        <w:t xml:space="preserve">concentration </w:t>
      </w:r>
      <w:r w:rsidR="00520A7C" w:rsidRPr="00C234D3">
        <w:rPr>
          <w:color w:val="000000" w:themeColor="text1"/>
        </w:rPr>
        <w:t xml:space="preserve">has </w:t>
      </w:r>
      <w:r w:rsidR="001E22A3" w:rsidRPr="00C234D3">
        <w:rPr>
          <w:color w:val="000000" w:themeColor="text1"/>
        </w:rPr>
        <w:t>decreased</w:t>
      </w:r>
      <w:r w:rsidR="00520A7C" w:rsidRPr="00C234D3">
        <w:rPr>
          <w:color w:val="000000" w:themeColor="text1"/>
        </w:rPr>
        <w:t xml:space="preserve"> </w:t>
      </w:r>
      <w:r w:rsidR="00BF43F3" w:rsidRPr="00C234D3">
        <w:rPr>
          <w:color w:val="000000" w:themeColor="text1"/>
        </w:rPr>
        <w:t>since 1981</w:t>
      </w:r>
      <w:r w:rsidR="00520A7C" w:rsidRPr="00C234D3">
        <w:rPr>
          <w:color w:val="000000" w:themeColor="text1"/>
        </w:rPr>
        <w:t>, communities that became more Hispanic, less White, less educated, and</w:t>
      </w:r>
      <w:r w:rsidR="00AC7A0E" w:rsidRPr="00C234D3">
        <w:rPr>
          <w:color w:val="000000" w:themeColor="text1"/>
        </w:rPr>
        <w:t xml:space="preserve"> had</w:t>
      </w:r>
      <w:r w:rsidR="00520A7C" w:rsidRPr="00C234D3">
        <w:rPr>
          <w:color w:val="000000" w:themeColor="text1"/>
        </w:rPr>
        <w:t xml:space="preserve"> a decrease in average income experienced increased levels of </w:t>
      </w:r>
      <w:r w:rsidR="00BB2B44" w:rsidRPr="00C234D3">
        <w:rPr>
          <w:color w:val="000000" w:themeColor="text1"/>
          <w:shd w:val="clear" w:color="auto" w:fill="FFFFFF"/>
        </w:rPr>
        <w:t>PM</w:t>
      </w:r>
      <w:r w:rsidR="00BB2B44" w:rsidRPr="00C234D3">
        <w:rPr>
          <w:color w:val="000000" w:themeColor="text1"/>
          <w:shd w:val="clear" w:color="auto" w:fill="FFFFFF"/>
          <w:vertAlign w:val="subscript"/>
        </w:rPr>
        <w:t>2.5</w:t>
      </w:r>
      <w:r w:rsidR="00520A7C" w:rsidRPr="00C234D3">
        <w:rPr>
          <w:color w:val="000000" w:themeColor="text1"/>
        </w:rPr>
        <w:t xml:space="preserve"> (Colmer et al., 2020)</w:t>
      </w:r>
      <w:r w:rsidR="003D69C5" w:rsidRPr="00C234D3">
        <w:rPr>
          <w:color w:val="000000" w:themeColor="text1"/>
        </w:rPr>
        <w:t xml:space="preserve">. Consequently, a large portion of people serving time in U.S. prisons are low-income people from racial minority groups (Pellow, 2017). </w:t>
      </w:r>
      <w:r w:rsidR="004260F8" w:rsidRPr="00C234D3">
        <w:rPr>
          <w:color w:val="000000" w:themeColor="text1"/>
        </w:rPr>
        <w:t xml:space="preserve">Therefore, these individuals have a greater risk of being exposed to </w:t>
      </w:r>
      <w:r w:rsidR="004260F8" w:rsidRPr="00C234D3">
        <w:rPr>
          <w:color w:val="000000" w:themeColor="text1"/>
          <w:shd w:val="clear" w:color="auto" w:fill="FFFFFF"/>
        </w:rPr>
        <w:t>PM</w:t>
      </w:r>
      <w:r w:rsidR="004260F8" w:rsidRPr="00C234D3">
        <w:rPr>
          <w:color w:val="000000" w:themeColor="text1"/>
          <w:shd w:val="clear" w:color="auto" w:fill="FFFFFF"/>
          <w:vertAlign w:val="subscript"/>
        </w:rPr>
        <w:t xml:space="preserve">2.5 </w:t>
      </w:r>
      <w:r w:rsidR="004260F8" w:rsidRPr="00C234D3">
        <w:rPr>
          <w:color w:val="000000" w:themeColor="text1"/>
        </w:rPr>
        <w:t xml:space="preserve">and </w:t>
      </w:r>
      <w:r w:rsidR="00BF43F3" w:rsidRPr="00C234D3">
        <w:rPr>
          <w:color w:val="000000" w:themeColor="text1"/>
        </w:rPr>
        <w:t xml:space="preserve">of </w:t>
      </w:r>
      <w:r w:rsidR="004260F8" w:rsidRPr="00C234D3">
        <w:rPr>
          <w:color w:val="000000" w:themeColor="text1"/>
        </w:rPr>
        <w:t xml:space="preserve">having to suffer from the associated health effects of exposure before they enter the </w:t>
      </w:r>
      <w:r w:rsidR="00574120" w:rsidRPr="00C234D3">
        <w:rPr>
          <w:color w:val="000000" w:themeColor="text1"/>
        </w:rPr>
        <w:t>criminal legal</w:t>
      </w:r>
      <w:r w:rsidR="004260F8" w:rsidRPr="00C234D3">
        <w:rPr>
          <w:color w:val="000000" w:themeColor="text1"/>
        </w:rPr>
        <w:t xml:space="preserve"> system</w:t>
      </w:r>
      <w:r w:rsidR="00EF1797">
        <w:rPr>
          <w:rStyle w:val="FootnoteReference"/>
          <w:color w:val="000000" w:themeColor="text1"/>
        </w:rPr>
        <w:footnoteReference w:id="1"/>
      </w:r>
      <w:r w:rsidR="004260F8" w:rsidRPr="00C234D3">
        <w:rPr>
          <w:color w:val="000000" w:themeColor="text1"/>
        </w:rPr>
        <w:t>.</w:t>
      </w:r>
    </w:p>
    <w:p w14:paraId="74F6CC54" w14:textId="65F993FF" w:rsidR="00622DFA" w:rsidRPr="00C234D3" w:rsidRDefault="00426350" w:rsidP="00485E06">
      <w:pPr>
        <w:pStyle w:val="NormalWeb"/>
        <w:spacing w:before="0" w:beforeAutospacing="0" w:after="0" w:afterAutospacing="0" w:line="480" w:lineRule="auto"/>
        <w:rPr>
          <w:b/>
          <w:bCs/>
          <w:i/>
          <w:iCs/>
          <w:color w:val="000000" w:themeColor="text1"/>
        </w:rPr>
      </w:pPr>
      <w:r w:rsidRPr="00C234D3">
        <w:rPr>
          <w:b/>
          <w:bCs/>
          <w:i/>
          <w:iCs/>
          <w:color w:val="000000" w:themeColor="text1"/>
        </w:rPr>
        <w:t xml:space="preserve">Environmental Justice Issues in Correctional Facilities </w:t>
      </w:r>
    </w:p>
    <w:p w14:paraId="2AC12C3D" w14:textId="24E895AA" w:rsidR="00BD1437" w:rsidRPr="00C234D3" w:rsidRDefault="00BF43F3" w:rsidP="00485E06">
      <w:pPr>
        <w:pStyle w:val="NormalWeb"/>
        <w:spacing w:before="0" w:beforeAutospacing="0" w:after="0" w:afterAutospacing="0" w:line="480" w:lineRule="auto"/>
        <w:rPr>
          <w:color w:val="000000" w:themeColor="text1"/>
          <w:shd w:val="clear" w:color="auto" w:fill="FFFFFF"/>
        </w:rPr>
      </w:pPr>
      <w:r w:rsidRPr="00C234D3">
        <w:rPr>
          <w:color w:val="000000" w:themeColor="text1"/>
        </w:rPr>
        <w:t xml:space="preserve">According </w:t>
      </w:r>
      <w:r w:rsidR="008C34E0" w:rsidRPr="00C234D3">
        <w:rPr>
          <w:color w:val="000000" w:themeColor="text1"/>
        </w:rPr>
        <w:t xml:space="preserve">to the United States Department of Health and Human Services </w:t>
      </w:r>
      <w:r w:rsidRPr="00C234D3">
        <w:rPr>
          <w:color w:val="000000" w:themeColor="text1"/>
        </w:rPr>
        <w:t xml:space="preserve">“environmental justice” </w:t>
      </w:r>
      <w:r w:rsidR="008C34E0" w:rsidRPr="00C234D3">
        <w:rPr>
          <w:color w:val="000000" w:themeColor="text1"/>
        </w:rPr>
        <w:t>is “</w:t>
      </w:r>
      <w:r w:rsidR="008C34E0" w:rsidRPr="00C234D3">
        <w:rPr>
          <w:color w:val="000000" w:themeColor="text1"/>
          <w:shd w:val="clear" w:color="auto" w:fill="FFFFFF"/>
        </w:rPr>
        <w:t>the fair treatment and meaningful involvement of all people regardless of race, color, national origin, or income in the development, implementation, and enforcement of environmental laws, regulations, and policies”</w:t>
      </w:r>
      <w:r w:rsidR="006125B4" w:rsidRPr="00C234D3">
        <w:rPr>
          <w:color w:val="000000" w:themeColor="text1"/>
          <w:shd w:val="clear" w:color="auto" w:fill="FFFFFF"/>
        </w:rPr>
        <w:t xml:space="preserve"> (Assistant Secretary for Health, 2021).</w:t>
      </w:r>
      <w:r w:rsidR="00CC5032" w:rsidRPr="00C234D3">
        <w:rPr>
          <w:color w:val="000000" w:themeColor="text1"/>
          <w:shd w:val="clear" w:color="auto" w:fill="FFFFFF"/>
        </w:rPr>
        <w:t xml:space="preserve"> Yet, there are a host of environmental justice issues that affect U</w:t>
      </w:r>
      <w:r w:rsidR="001718BF" w:rsidRPr="00C234D3">
        <w:rPr>
          <w:color w:val="000000" w:themeColor="text1"/>
          <w:shd w:val="clear" w:color="auto" w:fill="FFFFFF"/>
        </w:rPr>
        <w:t>.</w:t>
      </w:r>
      <w:r w:rsidR="00CC5032" w:rsidRPr="00C234D3">
        <w:rPr>
          <w:color w:val="000000" w:themeColor="text1"/>
          <w:shd w:val="clear" w:color="auto" w:fill="FFFFFF"/>
        </w:rPr>
        <w:t>S</w:t>
      </w:r>
      <w:r w:rsidR="001718BF" w:rsidRPr="00C234D3">
        <w:rPr>
          <w:color w:val="000000" w:themeColor="text1"/>
          <w:shd w:val="clear" w:color="auto" w:fill="FFFFFF"/>
        </w:rPr>
        <w:t>.</w:t>
      </w:r>
      <w:r w:rsidR="00CC5032" w:rsidRPr="00C234D3">
        <w:rPr>
          <w:color w:val="000000" w:themeColor="text1"/>
          <w:shd w:val="clear" w:color="auto" w:fill="FFFFFF"/>
        </w:rPr>
        <w:t xml:space="preserve"> </w:t>
      </w:r>
      <w:proofErr w:type="gramStart"/>
      <w:r w:rsidR="00CC5032" w:rsidRPr="00C234D3">
        <w:rPr>
          <w:color w:val="000000" w:themeColor="text1"/>
          <w:shd w:val="clear" w:color="auto" w:fill="FFFFFF"/>
        </w:rPr>
        <w:t>correctional facilities</w:t>
      </w:r>
      <w:proofErr w:type="gramEnd"/>
      <w:r w:rsidR="00CC5032" w:rsidRPr="00C234D3">
        <w:rPr>
          <w:color w:val="000000" w:themeColor="text1"/>
          <w:shd w:val="clear" w:color="auto" w:fill="FFFFFF"/>
        </w:rPr>
        <w:t xml:space="preserve"> and the individuals confined in these facilities (</w:t>
      </w:r>
      <w:r w:rsidR="000F21B8" w:rsidRPr="00C234D3">
        <w:rPr>
          <w:color w:val="000000" w:themeColor="text1"/>
          <w:shd w:val="clear" w:color="auto" w:fill="FFFFFF"/>
        </w:rPr>
        <w:t xml:space="preserve">Bradshaw, 2018; </w:t>
      </w:r>
      <w:proofErr w:type="spellStart"/>
      <w:r w:rsidR="000F21B8" w:rsidRPr="00C234D3">
        <w:rPr>
          <w:color w:val="000000" w:themeColor="text1"/>
          <w:shd w:val="clear" w:color="auto" w:fill="FFFFFF"/>
        </w:rPr>
        <w:t>Opsal</w:t>
      </w:r>
      <w:proofErr w:type="spellEnd"/>
      <w:r w:rsidR="000F21B8" w:rsidRPr="00C234D3">
        <w:rPr>
          <w:color w:val="000000" w:themeColor="text1"/>
          <w:shd w:val="clear" w:color="auto" w:fill="FFFFFF"/>
        </w:rPr>
        <w:t xml:space="preserve"> &amp; </w:t>
      </w:r>
      <w:proofErr w:type="spellStart"/>
      <w:r w:rsidR="000F21B8" w:rsidRPr="00C234D3">
        <w:rPr>
          <w:color w:val="000000" w:themeColor="text1"/>
          <w:shd w:val="clear" w:color="auto" w:fill="FFFFFF"/>
        </w:rPr>
        <w:t>Ma</w:t>
      </w:r>
      <w:r w:rsidR="007E5942" w:rsidRPr="00C234D3">
        <w:rPr>
          <w:color w:val="000000" w:themeColor="text1"/>
          <w:shd w:val="clear" w:color="auto" w:fill="FFFFFF"/>
        </w:rPr>
        <w:t>l</w:t>
      </w:r>
      <w:r w:rsidR="000F21B8" w:rsidRPr="00C234D3">
        <w:rPr>
          <w:color w:val="000000" w:themeColor="text1"/>
          <w:shd w:val="clear" w:color="auto" w:fill="FFFFFF"/>
        </w:rPr>
        <w:t>in</w:t>
      </w:r>
      <w:proofErr w:type="spellEnd"/>
      <w:r w:rsidR="000F21B8" w:rsidRPr="00C234D3">
        <w:rPr>
          <w:color w:val="000000" w:themeColor="text1"/>
          <w:shd w:val="clear" w:color="auto" w:fill="FFFFFF"/>
        </w:rPr>
        <w:t>, 2020</w:t>
      </w:r>
      <w:r w:rsidR="00CC5032" w:rsidRPr="00C234D3">
        <w:rPr>
          <w:color w:val="000000" w:themeColor="text1"/>
          <w:shd w:val="clear" w:color="auto" w:fill="FFFFFF"/>
        </w:rPr>
        <w:t xml:space="preserve">). </w:t>
      </w:r>
      <w:r w:rsidR="00AB7737" w:rsidRPr="00C234D3">
        <w:rPr>
          <w:color w:val="000000" w:themeColor="text1"/>
          <w:shd w:val="clear" w:color="auto" w:fill="FFFFFF"/>
        </w:rPr>
        <w:t xml:space="preserve">More precisely, </w:t>
      </w:r>
      <w:r w:rsidR="00AB7737" w:rsidRPr="00C234D3">
        <w:rPr>
          <w:color w:val="000000" w:themeColor="text1"/>
          <w:shd w:val="clear" w:color="auto" w:fill="FFFFFF"/>
        </w:rPr>
        <w:lastRenderedPageBreak/>
        <w:t xml:space="preserve">past research indicates that </w:t>
      </w:r>
      <w:r w:rsidR="000F21B8" w:rsidRPr="00C234D3">
        <w:rPr>
          <w:color w:val="000000" w:themeColor="text1"/>
          <w:shd w:val="clear" w:color="auto" w:fill="FFFFFF"/>
        </w:rPr>
        <w:t>individuals</w:t>
      </w:r>
      <w:r w:rsidR="00080518" w:rsidRPr="00C234D3">
        <w:rPr>
          <w:color w:val="000000" w:themeColor="text1"/>
          <w:shd w:val="clear" w:color="auto" w:fill="FFFFFF"/>
        </w:rPr>
        <w:t xml:space="preserve"> serving time in U.S. prisons </w:t>
      </w:r>
      <w:r w:rsidR="00AB7737" w:rsidRPr="00C234D3">
        <w:rPr>
          <w:color w:val="000000" w:themeColor="text1"/>
          <w:shd w:val="clear" w:color="auto" w:fill="FFFFFF"/>
        </w:rPr>
        <w:t>have been subjected to contaminated drinking water, high levels of pollution, poor medical care, extreme temperatures, and inadequate nutrition (</w:t>
      </w:r>
      <w:r w:rsidR="003F5922" w:rsidRPr="00C234D3">
        <w:rPr>
          <w:color w:val="000000" w:themeColor="text1"/>
        </w:rPr>
        <w:t xml:space="preserve">Dannenberg, 2007; </w:t>
      </w:r>
      <w:r w:rsidR="00AB7737" w:rsidRPr="00C234D3">
        <w:rPr>
          <w:color w:val="000000" w:themeColor="text1"/>
          <w:shd w:val="clear" w:color="auto" w:fill="FFFFFF"/>
        </w:rPr>
        <w:t xml:space="preserve">Pellow et al., 2020). </w:t>
      </w:r>
    </w:p>
    <w:p w14:paraId="306AFF1B" w14:textId="6ADEAB9C" w:rsidR="001B069E" w:rsidRPr="00C234D3" w:rsidRDefault="007C48FD" w:rsidP="00485E06">
      <w:pPr>
        <w:spacing w:line="480" w:lineRule="auto"/>
        <w:rPr>
          <w:color w:val="000000" w:themeColor="text1"/>
          <w:shd w:val="clear" w:color="auto" w:fill="FFFFFF"/>
        </w:rPr>
      </w:pPr>
      <w:r w:rsidRPr="00C234D3">
        <w:rPr>
          <w:color w:val="000000" w:themeColor="text1"/>
          <w:shd w:val="clear" w:color="auto" w:fill="FFFFFF"/>
        </w:rPr>
        <w:tab/>
      </w:r>
      <w:r w:rsidR="00BF43F3" w:rsidRPr="00C234D3">
        <w:rPr>
          <w:color w:val="000000" w:themeColor="text1"/>
          <w:shd w:val="clear" w:color="auto" w:fill="FFFFFF"/>
        </w:rPr>
        <w:t>T</w:t>
      </w:r>
      <w:r w:rsidRPr="00C234D3">
        <w:rPr>
          <w:color w:val="000000" w:themeColor="text1"/>
          <w:shd w:val="clear" w:color="auto" w:fill="FFFFFF"/>
        </w:rPr>
        <w:t>here exists limited research regarding the location of prisons and pollution levels in those locations</w:t>
      </w:r>
      <w:r w:rsidR="00BF43F3" w:rsidRPr="00C234D3">
        <w:rPr>
          <w:color w:val="000000" w:themeColor="text1"/>
          <w:shd w:val="clear" w:color="auto" w:fill="FFFFFF"/>
        </w:rPr>
        <w:t>, however</w:t>
      </w:r>
      <w:r w:rsidRPr="00C234D3">
        <w:rPr>
          <w:color w:val="000000" w:themeColor="text1"/>
          <w:shd w:val="clear" w:color="auto" w:fill="FFFFFF"/>
        </w:rPr>
        <w:t xml:space="preserve">. </w:t>
      </w:r>
      <w:r w:rsidR="004544EB" w:rsidRPr="00C234D3">
        <w:rPr>
          <w:color w:val="000000" w:themeColor="text1"/>
          <w:shd w:val="clear" w:color="auto" w:fill="FFFFFF"/>
        </w:rPr>
        <w:t>Most</w:t>
      </w:r>
      <w:r w:rsidRPr="00C234D3">
        <w:rPr>
          <w:color w:val="000000" w:themeColor="text1"/>
          <w:shd w:val="clear" w:color="auto" w:fill="FFFFFF"/>
        </w:rPr>
        <w:t xml:space="preserve"> past </w:t>
      </w:r>
      <w:r w:rsidR="004544EB" w:rsidRPr="00C234D3">
        <w:rPr>
          <w:color w:val="000000" w:themeColor="text1"/>
          <w:shd w:val="clear" w:color="auto" w:fill="FFFFFF"/>
        </w:rPr>
        <w:t>studies that discuss</w:t>
      </w:r>
      <w:r w:rsidRPr="00C234D3">
        <w:rPr>
          <w:color w:val="000000" w:themeColor="text1"/>
          <w:shd w:val="clear" w:color="auto" w:fill="FFFFFF"/>
        </w:rPr>
        <w:t xml:space="preserve"> high</w:t>
      </w:r>
      <w:r w:rsidR="004544EB" w:rsidRPr="00C234D3">
        <w:rPr>
          <w:color w:val="000000" w:themeColor="text1"/>
          <w:shd w:val="clear" w:color="auto" w:fill="FFFFFF"/>
        </w:rPr>
        <w:t xml:space="preserve"> levels of</w:t>
      </w:r>
      <w:r w:rsidRPr="00C234D3">
        <w:rPr>
          <w:color w:val="000000" w:themeColor="text1"/>
          <w:shd w:val="clear" w:color="auto" w:fill="FFFFFF"/>
        </w:rPr>
        <w:t xml:space="preserve"> pollution</w:t>
      </w:r>
      <w:r w:rsidR="004544EB" w:rsidRPr="00C234D3">
        <w:rPr>
          <w:color w:val="000000" w:themeColor="text1"/>
          <w:shd w:val="clear" w:color="auto" w:fill="FFFFFF"/>
        </w:rPr>
        <w:t xml:space="preserve"> </w:t>
      </w:r>
      <w:r w:rsidRPr="00C234D3">
        <w:rPr>
          <w:color w:val="000000" w:themeColor="text1"/>
          <w:shd w:val="clear" w:color="auto" w:fill="FFFFFF"/>
        </w:rPr>
        <w:t xml:space="preserve">in prisons </w:t>
      </w:r>
      <w:r w:rsidR="004544EB" w:rsidRPr="00C234D3">
        <w:rPr>
          <w:color w:val="000000" w:themeColor="text1"/>
          <w:shd w:val="clear" w:color="auto" w:fill="FFFFFF"/>
        </w:rPr>
        <w:t xml:space="preserve">are case studies. These studies present </w:t>
      </w:r>
      <w:r w:rsidR="000C4B3B" w:rsidRPr="00C234D3">
        <w:rPr>
          <w:color w:val="000000" w:themeColor="text1"/>
          <w:shd w:val="clear" w:color="auto" w:fill="FFFFFF"/>
        </w:rPr>
        <w:t xml:space="preserve">examples of just </w:t>
      </w:r>
      <w:r w:rsidR="004544EB" w:rsidRPr="00C234D3">
        <w:rPr>
          <w:color w:val="000000" w:themeColor="text1"/>
          <w:shd w:val="clear" w:color="auto" w:fill="FFFFFF"/>
        </w:rPr>
        <w:t xml:space="preserve">one or a </w:t>
      </w:r>
      <w:r w:rsidR="000C4B3B" w:rsidRPr="00C234D3">
        <w:rPr>
          <w:color w:val="000000" w:themeColor="text1"/>
          <w:shd w:val="clear" w:color="auto" w:fill="FFFFFF"/>
        </w:rPr>
        <w:t>handful of</w:t>
      </w:r>
      <w:r w:rsidR="004544EB" w:rsidRPr="00C234D3">
        <w:rPr>
          <w:color w:val="000000" w:themeColor="text1"/>
          <w:shd w:val="clear" w:color="auto" w:fill="FFFFFF"/>
        </w:rPr>
        <w:t xml:space="preserve"> prisons that are in areas with notably high levels of pollutants</w:t>
      </w:r>
      <w:r w:rsidR="00D60813" w:rsidRPr="00C234D3">
        <w:rPr>
          <w:color w:val="000000" w:themeColor="text1"/>
          <w:shd w:val="clear" w:color="auto" w:fill="FFFFFF"/>
        </w:rPr>
        <w:t xml:space="preserve">. </w:t>
      </w:r>
      <w:r w:rsidR="004544EB" w:rsidRPr="00C234D3">
        <w:rPr>
          <w:color w:val="000000" w:themeColor="text1"/>
          <w:shd w:val="clear" w:color="auto" w:fill="FFFFFF"/>
        </w:rPr>
        <w:t xml:space="preserve">For example, </w:t>
      </w:r>
      <w:r w:rsidR="00FB3A5E" w:rsidRPr="00C234D3">
        <w:rPr>
          <w:color w:val="000000" w:themeColor="text1"/>
          <w:shd w:val="clear" w:color="auto" w:fill="FFFFFF"/>
        </w:rPr>
        <w:t>individuals incarcerated in a pr</w:t>
      </w:r>
      <w:r w:rsidR="00AB230C" w:rsidRPr="00C234D3">
        <w:rPr>
          <w:color w:val="000000" w:themeColor="text1"/>
          <w:shd w:val="clear" w:color="auto" w:fill="FFFFFF"/>
        </w:rPr>
        <w:t>i</w:t>
      </w:r>
      <w:r w:rsidR="00FB3A5E" w:rsidRPr="00C234D3">
        <w:rPr>
          <w:color w:val="000000" w:themeColor="text1"/>
          <w:shd w:val="clear" w:color="auto" w:fill="FFFFFF"/>
        </w:rPr>
        <w:t>son in Labelle, Pennsylvania</w:t>
      </w:r>
      <w:r w:rsidR="00BF43F3" w:rsidRPr="00C234D3">
        <w:rPr>
          <w:color w:val="000000" w:themeColor="text1"/>
          <w:shd w:val="clear" w:color="auto" w:fill="FFFFFF"/>
        </w:rPr>
        <w:t>,</w:t>
      </w:r>
      <w:r w:rsidR="00FB3A5E" w:rsidRPr="00C234D3">
        <w:rPr>
          <w:color w:val="000000" w:themeColor="text1"/>
          <w:shd w:val="clear" w:color="auto" w:fill="FFFFFF"/>
        </w:rPr>
        <w:t xml:space="preserve"> regularly experience symptoms consistent with exposure to coal ash </w:t>
      </w:r>
      <w:r w:rsidR="00AB230C" w:rsidRPr="00C234D3">
        <w:rPr>
          <w:color w:val="000000" w:themeColor="text1"/>
          <w:shd w:val="clear" w:color="auto" w:fill="FFFFFF"/>
        </w:rPr>
        <w:t xml:space="preserve">such as breathing problems and dizziness </w:t>
      </w:r>
      <w:r w:rsidR="00FB3A5E" w:rsidRPr="00C234D3">
        <w:rPr>
          <w:color w:val="000000" w:themeColor="text1"/>
          <w:shd w:val="clear" w:color="auto" w:fill="FFFFFF"/>
        </w:rPr>
        <w:t>(Bradshaw, 2018).</w:t>
      </w:r>
      <w:r w:rsidR="00880EF8" w:rsidRPr="00C234D3">
        <w:rPr>
          <w:color w:val="000000" w:themeColor="text1"/>
          <w:shd w:val="clear" w:color="auto" w:fill="FFFFFF"/>
        </w:rPr>
        <w:t xml:space="preserve"> </w:t>
      </w:r>
      <w:r w:rsidR="00DD7997" w:rsidRPr="00C234D3">
        <w:rPr>
          <w:color w:val="000000" w:themeColor="text1"/>
          <w:shd w:val="clear" w:color="auto" w:fill="FFFFFF"/>
        </w:rPr>
        <w:t>Consequently, t</w:t>
      </w:r>
      <w:r w:rsidR="00FB3A5E" w:rsidRPr="00C234D3">
        <w:rPr>
          <w:color w:val="000000" w:themeColor="text1"/>
          <w:shd w:val="clear" w:color="auto" w:fill="FFFFFF"/>
        </w:rPr>
        <w:t xml:space="preserve">his facility is </w:t>
      </w:r>
      <w:r w:rsidR="00AB230C" w:rsidRPr="00C234D3">
        <w:rPr>
          <w:color w:val="000000" w:themeColor="text1"/>
          <w:shd w:val="clear" w:color="auto" w:fill="FFFFFF"/>
        </w:rPr>
        <w:t>situated</w:t>
      </w:r>
      <w:r w:rsidR="00FB3A5E" w:rsidRPr="00C234D3">
        <w:rPr>
          <w:color w:val="000000" w:themeColor="text1"/>
          <w:shd w:val="clear" w:color="auto" w:fill="FFFFFF"/>
        </w:rPr>
        <w:t xml:space="preserve"> in an area that has a coal waste dumping site. </w:t>
      </w:r>
      <w:r w:rsidR="00BF43F3" w:rsidRPr="00C234D3">
        <w:rPr>
          <w:color w:val="000000" w:themeColor="text1"/>
          <w:shd w:val="clear" w:color="auto" w:fill="FFFFFF"/>
        </w:rPr>
        <w:t>In addition</w:t>
      </w:r>
      <w:r w:rsidR="00AB230C" w:rsidRPr="00C234D3">
        <w:rPr>
          <w:color w:val="000000" w:themeColor="text1"/>
          <w:shd w:val="clear" w:color="auto" w:fill="FFFFFF"/>
        </w:rPr>
        <w:t xml:space="preserve">, </w:t>
      </w:r>
      <w:r w:rsidR="00607D16" w:rsidRPr="00C234D3">
        <w:rPr>
          <w:color w:val="000000" w:themeColor="text1"/>
        </w:rPr>
        <w:t>New York City’s Rikers Island jail was constructed on land that once served as a landfill (Pellow, 2017). As a result, the jail, which houses close to 6,000 people (Morales, 2021)</w:t>
      </w:r>
      <w:r w:rsidR="00BF43F3" w:rsidRPr="00C234D3">
        <w:rPr>
          <w:color w:val="000000" w:themeColor="text1"/>
        </w:rPr>
        <w:t>,</w:t>
      </w:r>
      <w:r w:rsidR="00607D16" w:rsidRPr="00C234D3">
        <w:rPr>
          <w:color w:val="000000" w:themeColor="text1"/>
        </w:rPr>
        <w:t xml:space="preserve"> </w:t>
      </w:r>
      <w:r w:rsidR="00636FD8" w:rsidRPr="00C234D3">
        <w:rPr>
          <w:color w:val="000000" w:themeColor="text1"/>
        </w:rPr>
        <w:t>is in</w:t>
      </w:r>
      <w:r w:rsidR="002E73AB" w:rsidRPr="00C234D3">
        <w:rPr>
          <w:color w:val="000000" w:themeColor="text1"/>
        </w:rPr>
        <w:t xml:space="preserve"> an area that contains high levels of methane</w:t>
      </w:r>
      <w:r w:rsidR="00607D16" w:rsidRPr="00C234D3">
        <w:rPr>
          <w:color w:val="000000" w:themeColor="text1"/>
        </w:rPr>
        <w:t xml:space="preserve"> gas</w:t>
      </w:r>
      <w:r w:rsidR="002E73AB" w:rsidRPr="00C234D3">
        <w:rPr>
          <w:color w:val="000000" w:themeColor="text1"/>
        </w:rPr>
        <w:t xml:space="preserve"> which can adversely impact human health. Unsurprisingly, correctional officers </w:t>
      </w:r>
      <w:r w:rsidR="00607D16" w:rsidRPr="00C234D3">
        <w:rPr>
          <w:color w:val="000000" w:themeColor="text1"/>
        </w:rPr>
        <w:t>working in the jail regularly complain of</w:t>
      </w:r>
      <w:r w:rsidR="002E73AB" w:rsidRPr="00C234D3">
        <w:rPr>
          <w:color w:val="000000" w:themeColor="text1"/>
        </w:rPr>
        <w:t xml:space="preserve"> several different</w:t>
      </w:r>
      <w:r w:rsidR="00607D16" w:rsidRPr="00C234D3">
        <w:rPr>
          <w:color w:val="000000" w:themeColor="text1"/>
        </w:rPr>
        <w:t xml:space="preserve"> health issues </w:t>
      </w:r>
      <w:r w:rsidR="002E73AB" w:rsidRPr="00C234D3">
        <w:rPr>
          <w:color w:val="000000" w:themeColor="text1"/>
        </w:rPr>
        <w:t xml:space="preserve">that are associated with methane </w:t>
      </w:r>
      <w:r w:rsidR="00CB0A6A" w:rsidRPr="00C234D3">
        <w:rPr>
          <w:color w:val="000000" w:themeColor="text1"/>
        </w:rPr>
        <w:t>poisoning</w:t>
      </w:r>
      <w:r w:rsidR="00DD7997" w:rsidRPr="00C234D3">
        <w:rPr>
          <w:color w:val="000000" w:themeColor="text1"/>
        </w:rPr>
        <w:t>, including cancer.</w:t>
      </w:r>
      <w:r w:rsidR="00607D16" w:rsidRPr="00C234D3">
        <w:rPr>
          <w:color w:val="000000" w:themeColor="text1"/>
          <w:shd w:val="clear" w:color="auto" w:fill="FFFFFF"/>
        </w:rPr>
        <w:t xml:space="preserve"> </w:t>
      </w:r>
      <w:proofErr w:type="spellStart"/>
      <w:r w:rsidR="000E7F6F" w:rsidRPr="00C234D3">
        <w:rPr>
          <w:color w:val="000000" w:themeColor="text1"/>
          <w:shd w:val="clear" w:color="auto" w:fill="FFFFFF"/>
        </w:rPr>
        <w:t>Opsal</w:t>
      </w:r>
      <w:proofErr w:type="spellEnd"/>
      <w:r w:rsidR="000E7F6F" w:rsidRPr="00C234D3">
        <w:rPr>
          <w:color w:val="000000" w:themeColor="text1"/>
          <w:shd w:val="clear" w:color="auto" w:fill="FFFFFF"/>
        </w:rPr>
        <w:t xml:space="preserve"> and </w:t>
      </w:r>
      <w:proofErr w:type="spellStart"/>
      <w:r w:rsidR="000E7F6F" w:rsidRPr="00C234D3">
        <w:rPr>
          <w:color w:val="000000" w:themeColor="text1"/>
          <w:shd w:val="clear" w:color="auto" w:fill="FFFFFF"/>
        </w:rPr>
        <w:t>Malin</w:t>
      </w:r>
      <w:proofErr w:type="spellEnd"/>
      <w:r w:rsidR="000E7F6F" w:rsidRPr="00C234D3">
        <w:rPr>
          <w:color w:val="000000" w:themeColor="text1"/>
          <w:shd w:val="clear" w:color="auto" w:fill="FFFFFF"/>
        </w:rPr>
        <w:t xml:space="preserve"> (2020) note that 11 prisons in Colorado are exposed to high levels of radiation that could have negative implications on </w:t>
      </w:r>
      <w:r w:rsidR="006D6C16" w:rsidRPr="00C234D3">
        <w:rPr>
          <w:color w:val="000000" w:themeColor="text1"/>
          <w:shd w:val="clear" w:color="auto" w:fill="FFFFFF"/>
        </w:rPr>
        <w:t xml:space="preserve">the health of incarcerated individuals and facility </w:t>
      </w:r>
      <w:r w:rsidR="00261B2F" w:rsidRPr="00C234D3">
        <w:rPr>
          <w:color w:val="000000" w:themeColor="text1"/>
          <w:shd w:val="clear" w:color="auto" w:fill="FFFFFF"/>
        </w:rPr>
        <w:t>staff</w:t>
      </w:r>
      <w:r w:rsidR="000E7F6F" w:rsidRPr="00C234D3">
        <w:rPr>
          <w:color w:val="000000" w:themeColor="text1"/>
          <w:shd w:val="clear" w:color="auto" w:fill="FFFFFF"/>
        </w:rPr>
        <w:t xml:space="preserve">. The reason these facilities are subject to this high exposure is </w:t>
      </w:r>
      <w:r w:rsidR="00D26C76" w:rsidRPr="00C234D3">
        <w:rPr>
          <w:color w:val="000000" w:themeColor="text1"/>
          <w:shd w:val="clear" w:color="auto" w:fill="FFFFFF"/>
        </w:rPr>
        <w:t>that</w:t>
      </w:r>
      <w:r w:rsidR="000E7F6F" w:rsidRPr="00C234D3">
        <w:rPr>
          <w:color w:val="000000" w:themeColor="text1"/>
          <w:shd w:val="clear" w:color="auto" w:fill="FFFFFF"/>
        </w:rPr>
        <w:t xml:space="preserve"> a uranium processing facility existed in the area in the </w:t>
      </w:r>
      <w:r w:rsidR="00D26C76" w:rsidRPr="00C234D3">
        <w:rPr>
          <w:color w:val="000000" w:themeColor="text1"/>
          <w:shd w:val="clear" w:color="auto" w:fill="FFFFFF"/>
        </w:rPr>
        <w:t>mid-20th</w:t>
      </w:r>
      <w:r w:rsidR="000E7F6F" w:rsidRPr="00C234D3">
        <w:rPr>
          <w:color w:val="000000" w:themeColor="text1"/>
          <w:shd w:val="clear" w:color="auto" w:fill="FFFFFF"/>
        </w:rPr>
        <w:t xml:space="preserve"> century that routinely dumped </w:t>
      </w:r>
      <w:r w:rsidR="00D26C76" w:rsidRPr="00C234D3">
        <w:rPr>
          <w:color w:val="000000" w:themeColor="text1"/>
          <w:shd w:val="clear" w:color="auto" w:fill="FFFFFF"/>
        </w:rPr>
        <w:t>long-lasting</w:t>
      </w:r>
      <w:r w:rsidR="000E7F6F" w:rsidRPr="00C234D3">
        <w:rPr>
          <w:color w:val="000000" w:themeColor="text1"/>
          <w:shd w:val="clear" w:color="auto" w:fill="FFFFFF"/>
        </w:rPr>
        <w:t xml:space="preserve"> </w:t>
      </w:r>
      <w:r w:rsidR="000E7F6F" w:rsidRPr="00C234D3">
        <w:rPr>
          <w:color w:val="000000" w:themeColor="text1"/>
        </w:rPr>
        <w:t>radioactive particles into both the ground and</w:t>
      </w:r>
      <w:r w:rsidR="00BF43F3" w:rsidRPr="00C234D3">
        <w:rPr>
          <w:color w:val="000000" w:themeColor="text1"/>
        </w:rPr>
        <w:t xml:space="preserve"> emitted them into</w:t>
      </w:r>
      <w:r w:rsidR="000E7F6F" w:rsidRPr="00C234D3">
        <w:rPr>
          <w:color w:val="000000" w:themeColor="text1"/>
        </w:rPr>
        <w:t xml:space="preserve"> the atmosphere.</w:t>
      </w:r>
      <w:r w:rsidR="001B069E" w:rsidRPr="00C234D3">
        <w:rPr>
          <w:color w:val="000000" w:themeColor="text1"/>
        </w:rPr>
        <w:t xml:space="preserve"> I</w:t>
      </w:r>
      <w:r w:rsidR="001B069E" w:rsidRPr="00C234D3">
        <w:rPr>
          <w:color w:val="000000" w:themeColor="text1"/>
          <w:shd w:val="clear" w:color="auto" w:fill="FFFFFF"/>
        </w:rPr>
        <w:t xml:space="preserve">t is not uncommon for U.S. prisons to be built in communities that have been deindustrialized but were once known for housing industries such as coal and steel mining that were, and sometimes </w:t>
      </w:r>
      <w:r w:rsidR="003333AA" w:rsidRPr="00C234D3">
        <w:rPr>
          <w:color w:val="000000" w:themeColor="text1"/>
          <w:shd w:val="clear" w:color="auto" w:fill="FFFFFF"/>
        </w:rPr>
        <w:t>remain</w:t>
      </w:r>
      <w:r w:rsidR="001B069E" w:rsidRPr="00C234D3">
        <w:rPr>
          <w:color w:val="000000" w:themeColor="text1"/>
          <w:shd w:val="clear" w:color="auto" w:fill="FFFFFF"/>
        </w:rPr>
        <w:t>, harmful to the environment (</w:t>
      </w:r>
      <w:proofErr w:type="spellStart"/>
      <w:r w:rsidR="001B069E" w:rsidRPr="00C234D3">
        <w:rPr>
          <w:color w:val="000000" w:themeColor="text1"/>
          <w:shd w:val="clear" w:color="auto" w:fill="FFFFFF"/>
        </w:rPr>
        <w:t>Schept</w:t>
      </w:r>
      <w:proofErr w:type="spellEnd"/>
      <w:r w:rsidR="001B069E" w:rsidRPr="00C234D3">
        <w:rPr>
          <w:color w:val="000000" w:themeColor="text1"/>
          <w:shd w:val="clear" w:color="auto" w:fill="FFFFFF"/>
        </w:rPr>
        <w:t xml:space="preserve">, 2014). </w:t>
      </w:r>
    </w:p>
    <w:p w14:paraId="2FC84070" w14:textId="623FC043" w:rsidR="00C7464C" w:rsidRPr="00C234D3" w:rsidRDefault="00C7464C" w:rsidP="00514129">
      <w:pPr>
        <w:spacing w:line="480" w:lineRule="auto"/>
        <w:ind w:firstLine="720"/>
        <w:rPr>
          <w:color w:val="000000" w:themeColor="text1"/>
          <w:shd w:val="clear" w:color="auto" w:fill="FFFFFF"/>
        </w:rPr>
      </w:pPr>
      <w:r w:rsidRPr="00C234D3">
        <w:rPr>
          <w:color w:val="000000" w:themeColor="text1"/>
          <w:shd w:val="clear" w:color="auto" w:fill="FFFFFF"/>
        </w:rPr>
        <w:lastRenderedPageBreak/>
        <w:t xml:space="preserve">The idea that </w:t>
      </w:r>
      <w:r w:rsidR="00C868C8" w:rsidRPr="00C234D3">
        <w:rPr>
          <w:color w:val="000000" w:themeColor="text1"/>
          <w:shd w:val="clear" w:color="auto" w:fill="FFFFFF"/>
        </w:rPr>
        <w:t xml:space="preserve">areas with </w:t>
      </w:r>
      <w:proofErr w:type="gramStart"/>
      <w:r w:rsidR="00C868C8" w:rsidRPr="00C234D3">
        <w:rPr>
          <w:color w:val="000000" w:themeColor="text1"/>
          <w:shd w:val="clear" w:color="auto" w:fill="FFFFFF"/>
        </w:rPr>
        <w:t>correctional facilities</w:t>
      </w:r>
      <w:proofErr w:type="gramEnd"/>
      <w:r w:rsidRPr="00C234D3">
        <w:rPr>
          <w:color w:val="000000" w:themeColor="text1"/>
          <w:shd w:val="clear" w:color="auto" w:fill="FFFFFF"/>
        </w:rPr>
        <w:t xml:space="preserve"> </w:t>
      </w:r>
      <w:r w:rsidR="00C868C8" w:rsidRPr="00C234D3">
        <w:rPr>
          <w:color w:val="000000" w:themeColor="text1"/>
          <w:shd w:val="clear" w:color="auto" w:fill="FFFFFF"/>
        </w:rPr>
        <w:t>have</w:t>
      </w:r>
      <w:r w:rsidRPr="00C234D3">
        <w:rPr>
          <w:color w:val="000000" w:themeColor="text1"/>
          <w:shd w:val="clear" w:color="auto" w:fill="FFFFFF"/>
        </w:rPr>
        <w:t xml:space="preserve"> higher levels of pollution can be supported by </w:t>
      </w:r>
      <w:r w:rsidR="0004273D" w:rsidRPr="00C234D3">
        <w:rPr>
          <w:color w:val="000000" w:themeColor="text1"/>
          <w:shd w:val="clear" w:color="auto" w:fill="FFFFFF"/>
        </w:rPr>
        <w:t xml:space="preserve">two theoretical perspectives. First, </w:t>
      </w:r>
      <w:r w:rsidRPr="00C234D3">
        <w:rPr>
          <w:color w:val="000000" w:themeColor="text1"/>
        </w:rPr>
        <w:t xml:space="preserve">Perdue (2023) </w:t>
      </w:r>
      <w:r w:rsidR="0004273D" w:rsidRPr="00C234D3">
        <w:rPr>
          <w:color w:val="000000" w:themeColor="text1"/>
        </w:rPr>
        <w:t>argued</w:t>
      </w:r>
      <w:r w:rsidRPr="00C234D3">
        <w:rPr>
          <w:color w:val="000000" w:themeColor="text1"/>
        </w:rPr>
        <w:t xml:space="preserve"> that communities in Appalachia were chosen to house prisons for two reasons: first, to curb unemployment and a decreasing population from deindustrialization</w:t>
      </w:r>
      <w:r w:rsidR="00C234D3" w:rsidRPr="00C234D3">
        <w:rPr>
          <w:color w:val="000000" w:themeColor="text1"/>
        </w:rPr>
        <w:t>;</w:t>
      </w:r>
      <w:r w:rsidRPr="00C234D3">
        <w:rPr>
          <w:color w:val="000000" w:themeColor="text1"/>
        </w:rPr>
        <w:t xml:space="preserve"> and second</w:t>
      </w:r>
      <w:r w:rsidR="00B15BB8" w:rsidRPr="00C234D3">
        <w:rPr>
          <w:color w:val="000000" w:themeColor="text1"/>
        </w:rPr>
        <w:t>,</w:t>
      </w:r>
      <w:r w:rsidRPr="00C234D3">
        <w:rPr>
          <w:color w:val="000000" w:themeColor="text1"/>
        </w:rPr>
        <w:t xml:space="preserve"> to place incarcerated people, whom </w:t>
      </w:r>
      <w:r w:rsidR="002C6D5B" w:rsidRPr="002A3D18">
        <w:rPr>
          <w:color w:val="000000" w:themeColor="text1"/>
          <w:shd w:val="clear" w:color="auto" w:fill="FFFFFF"/>
        </w:rPr>
        <w:t>Perdue</w:t>
      </w:r>
      <w:r w:rsidR="002C6D5B" w:rsidRPr="00C234D3">
        <w:rPr>
          <w:color w:val="000000" w:themeColor="text1"/>
        </w:rPr>
        <w:t xml:space="preserve"> </w:t>
      </w:r>
      <w:r w:rsidRPr="00C234D3">
        <w:rPr>
          <w:color w:val="000000" w:themeColor="text1"/>
        </w:rPr>
        <w:t>refers to as “societal castoffs” in an area with other “outsiders”,</w:t>
      </w:r>
      <w:r w:rsidR="00CE25E1" w:rsidRPr="00C234D3">
        <w:rPr>
          <w:color w:val="000000" w:themeColor="text1"/>
        </w:rPr>
        <w:t xml:space="preserve"> specifically</w:t>
      </w:r>
      <w:r w:rsidRPr="00C234D3">
        <w:rPr>
          <w:color w:val="000000" w:themeColor="text1"/>
        </w:rPr>
        <w:t xml:space="preserve"> poor </w:t>
      </w:r>
      <w:r w:rsidR="00CE25E1" w:rsidRPr="00C234D3">
        <w:rPr>
          <w:color w:val="000000" w:themeColor="text1"/>
        </w:rPr>
        <w:t>W</w:t>
      </w:r>
      <w:r w:rsidRPr="00C234D3">
        <w:rPr>
          <w:color w:val="000000" w:themeColor="text1"/>
        </w:rPr>
        <w:t>hite people</w:t>
      </w:r>
      <w:r w:rsidR="00CE25E1" w:rsidRPr="00C234D3">
        <w:rPr>
          <w:color w:val="000000" w:themeColor="text1"/>
        </w:rPr>
        <w:t xml:space="preserve">. </w:t>
      </w:r>
      <w:r w:rsidR="002C6D5B" w:rsidRPr="00C234D3">
        <w:rPr>
          <w:color w:val="000000" w:themeColor="text1"/>
        </w:rPr>
        <w:t>This theory can also be applied to areas outside of Appalachia</w:t>
      </w:r>
      <w:r w:rsidR="002573FF" w:rsidRPr="00C234D3">
        <w:rPr>
          <w:color w:val="000000" w:themeColor="text1"/>
        </w:rPr>
        <w:t>, g</w:t>
      </w:r>
      <w:r w:rsidR="00CE25E1" w:rsidRPr="00C234D3">
        <w:rPr>
          <w:color w:val="000000" w:themeColor="text1"/>
        </w:rPr>
        <w:t xml:space="preserve">iven the information presented above about </w:t>
      </w:r>
      <w:proofErr w:type="gramStart"/>
      <w:r w:rsidR="00C868C8" w:rsidRPr="00C234D3">
        <w:rPr>
          <w:color w:val="000000" w:themeColor="text1"/>
        </w:rPr>
        <w:t>correctional facilities</w:t>
      </w:r>
      <w:proofErr w:type="gramEnd"/>
      <w:r w:rsidR="00CE25E1" w:rsidRPr="00C234D3">
        <w:rPr>
          <w:color w:val="000000" w:themeColor="text1"/>
        </w:rPr>
        <w:t xml:space="preserve"> being built in deindustrialized communities</w:t>
      </w:r>
      <w:r w:rsidR="00D242B5" w:rsidRPr="00C234D3">
        <w:rPr>
          <w:color w:val="000000" w:themeColor="text1"/>
        </w:rPr>
        <w:t xml:space="preserve"> throughout the U.S.</w:t>
      </w:r>
      <w:r w:rsidR="00CE25E1" w:rsidRPr="00C234D3">
        <w:rPr>
          <w:color w:val="000000" w:themeColor="text1"/>
        </w:rPr>
        <w:t xml:space="preserve">, and the fact that </w:t>
      </w:r>
      <w:r w:rsidR="00C868C8" w:rsidRPr="00C234D3">
        <w:rPr>
          <w:color w:val="000000" w:themeColor="text1"/>
        </w:rPr>
        <w:t>correctional facilities</w:t>
      </w:r>
      <w:r w:rsidR="002C6D5B" w:rsidRPr="00C234D3">
        <w:rPr>
          <w:color w:val="000000" w:themeColor="text1"/>
        </w:rPr>
        <w:t xml:space="preserve"> are generally </w:t>
      </w:r>
      <w:r w:rsidR="007867A7">
        <w:rPr>
          <w:color w:val="000000" w:themeColor="text1"/>
        </w:rPr>
        <w:t>constructed</w:t>
      </w:r>
      <w:r w:rsidR="002C6D5B" w:rsidRPr="00C234D3">
        <w:rPr>
          <w:color w:val="000000" w:themeColor="text1"/>
        </w:rPr>
        <w:t xml:space="preserve"> in </w:t>
      </w:r>
      <w:r w:rsidR="00D242B5" w:rsidRPr="00C234D3">
        <w:rPr>
          <w:color w:val="000000" w:themeColor="text1"/>
        </w:rPr>
        <w:t>poor,</w:t>
      </w:r>
      <w:r w:rsidR="002C6D5B" w:rsidRPr="00C234D3">
        <w:rPr>
          <w:color w:val="000000" w:themeColor="text1"/>
        </w:rPr>
        <w:t xml:space="preserve"> rural communities (Eason, 2010</w:t>
      </w:r>
      <w:r w:rsidR="006A245A">
        <w:rPr>
          <w:color w:val="000000" w:themeColor="text1"/>
        </w:rPr>
        <w:t xml:space="preserve">; Ryerson &amp; </w:t>
      </w:r>
      <w:proofErr w:type="spellStart"/>
      <w:r w:rsidR="006A245A">
        <w:rPr>
          <w:color w:val="000000" w:themeColor="text1"/>
        </w:rPr>
        <w:t>Schept</w:t>
      </w:r>
      <w:proofErr w:type="spellEnd"/>
      <w:r w:rsidR="006A245A">
        <w:rPr>
          <w:color w:val="000000" w:themeColor="text1"/>
        </w:rPr>
        <w:t>, 2023</w:t>
      </w:r>
      <w:r w:rsidR="002C6D5B" w:rsidRPr="00C234D3">
        <w:rPr>
          <w:color w:val="000000" w:themeColor="text1"/>
        </w:rPr>
        <w:t>)</w:t>
      </w:r>
      <w:r w:rsidR="002573FF" w:rsidRPr="00C234D3">
        <w:rPr>
          <w:color w:val="000000" w:themeColor="text1"/>
        </w:rPr>
        <w:t xml:space="preserve">. Essentially, if </w:t>
      </w:r>
      <w:r w:rsidR="00C868C8" w:rsidRPr="00C234D3">
        <w:rPr>
          <w:color w:val="000000" w:themeColor="text1"/>
        </w:rPr>
        <w:t xml:space="preserve">more correctional facilities </w:t>
      </w:r>
      <w:r w:rsidR="002573FF" w:rsidRPr="00C234D3">
        <w:rPr>
          <w:color w:val="000000" w:themeColor="text1"/>
        </w:rPr>
        <w:t>are being built</w:t>
      </w:r>
      <w:r w:rsidR="00B15BB8" w:rsidRPr="00C234D3">
        <w:rPr>
          <w:color w:val="000000" w:themeColor="text1"/>
        </w:rPr>
        <w:t xml:space="preserve"> to promote economic growth</w:t>
      </w:r>
      <w:r w:rsidR="002573FF" w:rsidRPr="00C234D3">
        <w:rPr>
          <w:color w:val="000000" w:themeColor="text1"/>
        </w:rPr>
        <w:t xml:space="preserve"> in poor deindustrialized communities</w:t>
      </w:r>
      <w:r w:rsidR="00B15BB8" w:rsidRPr="00C234D3">
        <w:rPr>
          <w:color w:val="000000" w:themeColor="text1"/>
        </w:rPr>
        <w:t xml:space="preserve"> </w:t>
      </w:r>
      <w:r w:rsidR="002573FF" w:rsidRPr="00C234D3">
        <w:rPr>
          <w:color w:val="000000" w:themeColor="text1"/>
        </w:rPr>
        <w:t>which have higher pollution levels than wealthier</w:t>
      </w:r>
      <w:r w:rsidR="00D25F3D" w:rsidRPr="00C234D3">
        <w:rPr>
          <w:color w:val="000000" w:themeColor="text1"/>
        </w:rPr>
        <w:t xml:space="preserve"> communities with </w:t>
      </w:r>
      <w:r w:rsidR="00B15BB8" w:rsidRPr="00C234D3">
        <w:rPr>
          <w:color w:val="000000" w:themeColor="text1"/>
        </w:rPr>
        <w:t>flourishing</w:t>
      </w:r>
      <w:r w:rsidR="00D25F3D" w:rsidRPr="00C234D3">
        <w:rPr>
          <w:color w:val="000000" w:themeColor="text1"/>
        </w:rPr>
        <w:t xml:space="preserve"> modern businesses, </w:t>
      </w:r>
      <w:r w:rsidR="00C868C8" w:rsidRPr="00C234D3">
        <w:rPr>
          <w:color w:val="000000" w:themeColor="text1"/>
        </w:rPr>
        <w:t xml:space="preserve">then </w:t>
      </w:r>
      <w:r w:rsidR="00C868C8" w:rsidRPr="00C234D3">
        <w:rPr>
          <w:color w:val="000000" w:themeColor="text1"/>
          <w:shd w:val="clear" w:color="auto" w:fill="FFFFFF"/>
        </w:rPr>
        <w:t xml:space="preserve">areas with </w:t>
      </w:r>
      <w:r w:rsidR="00C868C8" w:rsidRPr="00C234D3">
        <w:rPr>
          <w:color w:val="000000" w:themeColor="text1"/>
        </w:rPr>
        <w:t xml:space="preserve">correctional facilities </w:t>
      </w:r>
      <w:r w:rsidR="00C868C8" w:rsidRPr="00C234D3">
        <w:rPr>
          <w:color w:val="000000" w:themeColor="text1"/>
          <w:shd w:val="clear" w:color="auto" w:fill="FFFFFF"/>
        </w:rPr>
        <w:t xml:space="preserve">will have higher levels of pollution than areas without prisons, on average. </w:t>
      </w:r>
    </w:p>
    <w:p w14:paraId="2A302671" w14:textId="7C728484" w:rsidR="00514129" w:rsidRPr="00C234D3" w:rsidRDefault="00514129" w:rsidP="00514129">
      <w:pPr>
        <w:spacing w:line="480" w:lineRule="auto"/>
        <w:rPr>
          <w:color w:val="000000" w:themeColor="text1"/>
          <w:shd w:val="clear" w:color="auto" w:fill="FFFFFF"/>
        </w:rPr>
      </w:pPr>
      <w:r w:rsidRPr="00C234D3">
        <w:rPr>
          <w:b/>
          <w:bCs/>
          <w:color w:val="000000" w:themeColor="text1"/>
        </w:rPr>
        <w:tab/>
      </w:r>
      <w:r w:rsidRPr="00C234D3">
        <w:rPr>
          <w:color w:val="000000" w:themeColor="text1"/>
          <w:shd w:val="clear" w:color="auto" w:fill="FFFFFF"/>
        </w:rPr>
        <w:t xml:space="preserve">The second theoretical perspective that can support why areas with </w:t>
      </w:r>
      <w:proofErr w:type="gramStart"/>
      <w:r w:rsidRPr="00C234D3">
        <w:rPr>
          <w:color w:val="000000" w:themeColor="text1"/>
          <w:shd w:val="clear" w:color="auto" w:fill="FFFFFF"/>
        </w:rPr>
        <w:t>correctional facilities</w:t>
      </w:r>
      <w:proofErr w:type="gramEnd"/>
      <w:r w:rsidRPr="00C234D3">
        <w:rPr>
          <w:color w:val="000000" w:themeColor="text1"/>
          <w:shd w:val="clear" w:color="auto" w:fill="FFFFFF"/>
        </w:rPr>
        <w:t xml:space="preserve"> </w:t>
      </w:r>
      <w:r w:rsidR="00B6312C" w:rsidRPr="00C234D3">
        <w:rPr>
          <w:color w:val="000000" w:themeColor="text1"/>
          <w:shd w:val="clear" w:color="auto" w:fill="FFFFFF"/>
        </w:rPr>
        <w:t xml:space="preserve">might </w:t>
      </w:r>
      <w:r w:rsidRPr="00C234D3">
        <w:rPr>
          <w:color w:val="000000" w:themeColor="text1"/>
          <w:shd w:val="clear" w:color="auto" w:fill="FFFFFF"/>
        </w:rPr>
        <w:t>have higher levels of pollution is Pellow’s (2000) perspective on e</w:t>
      </w:r>
      <w:r w:rsidRPr="002A3D18">
        <w:rPr>
          <w:color w:val="000000" w:themeColor="text1"/>
          <w:shd w:val="clear" w:color="auto" w:fill="FFFFFF"/>
        </w:rPr>
        <w:t>nvironmental inequality formation</w:t>
      </w:r>
      <w:r w:rsidRPr="00C234D3">
        <w:rPr>
          <w:color w:val="000000" w:themeColor="text1"/>
          <w:shd w:val="clear" w:color="auto" w:fill="FFFFFF"/>
        </w:rPr>
        <w:t xml:space="preserve">, which includes the intersection of three points. First, environmental inequality should be seen as a sociohistorical process. In this case, </w:t>
      </w:r>
      <w:proofErr w:type="gramStart"/>
      <w:r w:rsidRPr="00C234D3">
        <w:rPr>
          <w:color w:val="000000" w:themeColor="text1"/>
          <w:shd w:val="clear" w:color="auto" w:fill="FFFFFF"/>
        </w:rPr>
        <w:t>correctional facilities</w:t>
      </w:r>
      <w:proofErr w:type="gramEnd"/>
      <w:r w:rsidRPr="00C234D3">
        <w:rPr>
          <w:color w:val="000000" w:themeColor="text1"/>
          <w:shd w:val="clear" w:color="auto" w:fill="FFFFFF"/>
        </w:rPr>
        <w:t xml:space="preserve"> were historically developed for the goal of punishment (Barnes, 1921) and these places of punishment should not be located in desirable (i.e., environmentally clean) areas. Instead, those areas should be reserved for people outside of prison who positively contribute to society. Second, Pellow argues that environmental justice issues involve the viewpoints and decisions of different stakeholders. In this example, state correction departments are focused on maximizing safety (possibly by having </w:t>
      </w:r>
      <w:proofErr w:type="gramStart"/>
      <w:r w:rsidRPr="00C234D3">
        <w:rPr>
          <w:color w:val="000000" w:themeColor="text1"/>
          <w:shd w:val="clear" w:color="auto" w:fill="FFFFFF"/>
        </w:rPr>
        <w:t>correctional facilities</w:t>
      </w:r>
      <w:proofErr w:type="gramEnd"/>
      <w:r w:rsidRPr="00C234D3">
        <w:rPr>
          <w:color w:val="000000" w:themeColor="text1"/>
          <w:shd w:val="clear" w:color="auto" w:fill="FFFFFF"/>
        </w:rPr>
        <w:t xml:space="preserve"> away from highly populated areas) and keeping staff happy, whereas state </w:t>
      </w:r>
      <w:r w:rsidRPr="00C234D3">
        <w:rPr>
          <w:color w:val="000000" w:themeColor="text1"/>
          <w:shd w:val="clear" w:color="auto" w:fill="FFFFFF"/>
        </w:rPr>
        <w:lastRenderedPageBreak/>
        <w:t xml:space="preserve">governments are likely concerned with keeping corrections-related expenses low (building facilities in cheaper areas) </w:t>
      </w:r>
      <w:r w:rsidR="007867A7">
        <w:rPr>
          <w:color w:val="000000" w:themeColor="text1"/>
          <w:shd w:val="clear" w:color="auto" w:fill="FFFFFF"/>
        </w:rPr>
        <w:t xml:space="preserve">and </w:t>
      </w:r>
      <w:r w:rsidRPr="00C234D3">
        <w:rPr>
          <w:color w:val="000000" w:themeColor="text1"/>
          <w:shd w:val="clear" w:color="auto" w:fill="FFFFFF"/>
        </w:rPr>
        <w:t xml:space="preserve">keeping voters happy (by building corrections facilities away from potentially valuable residential and commercial land areas). Third, Pellow argues for the examination of environmental inequality issues through a life-course lens. In this case, higher pollution levels can often be linked back to industry sites and </w:t>
      </w:r>
      <w:proofErr w:type="gramStart"/>
      <w:r w:rsidRPr="00C234D3">
        <w:rPr>
          <w:color w:val="000000" w:themeColor="text1"/>
          <w:shd w:val="clear" w:color="auto" w:fill="FFFFFF"/>
        </w:rPr>
        <w:t>correctional facilities</w:t>
      </w:r>
      <w:proofErr w:type="gramEnd"/>
      <w:r w:rsidRPr="00C234D3">
        <w:rPr>
          <w:color w:val="000000" w:themeColor="text1"/>
          <w:shd w:val="clear" w:color="auto" w:fill="FFFFFF"/>
        </w:rPr>
        <w:t xml:space="preserve"> might be purposely built in these areas to promote economic growth from deindustrialization and/or to replace old industry sites that are not being used. </w:t>
      </w:r>
    </w:p>
    <w:p w14:paraId="3F6E953C" w14:textId="55C3B070" w:rsidR="000E4333" w:rsidRPr="00C234D3" w:rsidRDefault="000E4333" w:rsidP="00514129">
      <w:pPr>
        <w:spacing w:line="480" w:lineRule="auto"/>
        <w:ind w:firstLine="720"/>
        <w:rPr>
          <w:color w:val="000000" w:themeColor="text1"/>
          <w:shd w:val="clear" w:color="auto" w:fill="FFFFFF"/>
        </w:rPr>
      </w:pPr>
      <w:r w:rsidRPr="00C234D3">
        <w:rPr>
          <w:color w:val="000000" w:themeColor="text1"/>
        </w:rPr>
        <w:t xml:space="preserve">Even </w:t>
      </w:r>
      <w:r w:rsidR="00B15BB8" w:rsidRPr="00C234D3">
        <w:rPr>
          <w:color w:val="000000" w:themeColor="text1"/>
        </w:rPr>
        <w:t xml:space="preserve">if </w:t>
      </w:r>
      <w:proofErr w:type="gramStart"/>
      <w:r w:rsidR="00B15BB8" w:rsidRPr="00C234D3">
        <w:rPr>
          <w:color w:val="000000" w:themeColor="text1"/>
        </w:rPr>
        <w:t>correctional facilities</w:t>
      </w:r>
      <w:proofErr w:type="gramEnd"/>
      <w:r w:rsidR="00B15BB8" w:rsidRPr="00C234D3">
        <w:rPr>
          <w:color w:val="000000" w:themeColor="text1"/>
        </w:rPr>
        <w:t xml:space="preserve"> are not located in areas with high levels of pollutants,</w:t>
      </w:r>
      <w:r w:rsidRPr="00C234D3">
        <w:rPr>
          <w:color w:val="000000" w:themeColor="text1"/>
        </w:rPr>
        <w:t xml:space="preserve"> incarcerated individuals </w:t>
      </w:r>
      <w:r w:rsidR="00B15BB8" w:rsidRPr="00C234D3">
        <w:rPr>
          <w:color w:val="000000" w:themeColor="text1"/>
        </w:rPr>
        <w:t>can still be exposed to environmental hazards by</w:t>
      </w:r>
      <w:r w:rsidRPr="00C234D3">
        <w:rPr>
          <w:color w:val="000000" w:themeColor="text1"/>
        </w:rPr>
        <w:t xml:space="preserve"> </w:t>
      </w:r>
      <w:r w:rsidR="00BF43F3" w:rsidRPr="00C234D3">
        <w:rPr>
          <w:color w:val="000000" w:themeColor="text1"/>
        </w:rPr>
        <w:t xml:space="preserve">voluntarily </w:t>
      </w:r>
      <w:r w:rsidRPr="00C234D3">
        <w:rPr>
          <w:color w:val="000000" w:themeColor="text1"/>
        </w:rPr>
        <w:t xml:space="preserve">responding to both natural and </w:t>
      </w:r>
      <w:r w:rsidR="00D278F8" w:rsidRPr="00C234D3">
        <w:rPr>
          <w:color w:val="000000" w:themeColor="text1"/>
        </w:rPr>
        <w:t>human</w:t>
      </w:r>
      <w:r w:rsidRPr="00C234D3">
        <w:rPr>
          <w:color w:val="000000" w:themeColor="text1"/>
        </w:rPr>
        <w:t>-made disasters.</w:t>
      </w:r>
      <w:r w:rsidR="00BF43F3" w:rsidRPr="00C234D3">
        <w:rPr>
          <w:color w:val="000000" w:themeColor="text1"/>
        </w:rPr>
        <w:t xml:space="preserve"> In response to this work, incarcerated people might be offered monetary rewards or other privileges.</w:t>
      </w:r>
      <w:r w:rsidRPr="00C234D3">
        <w:rPr>
          <w:color w:val="000000" w:themeColor="text1"/>
        </w:rPr>
        <w:t xml:space="preserve"> For example, some </w:t>
      </w:r>
      <w:r w:rsidR="00C45769" w:rsidRPr="00C234D3">
        <w:rPr>
          <w:color w:val="000000" w:themeColor="text1"/>
        </w:rPr>
        <w:t>incarcerated individuals</w:t>
      </w:r>
      <w:r w:rsidRPr="00C234D3">
        <w:rPr>
          <w:color w:val="000000" w:themeColor="text1"/>
        </w:rPr>
        <w:t xml:space="preserve"> were instructed to help clean up the BP oil spill in the Gulf of Mex</w:t>
      </w:r>
      <w:r w:rsidR="006874D5" w:rsidRPr="00C234D3">
        <w:rPr>
          <w:color w:val="000000" w:themeColor="text1"/>
        </w:rPr>
        <w:t>i</w:t>
      </w:r>
      <w:r w:rsidRPr="00C234D3">
        <w:rPr>
          <w:color w:val="000000" w:themeColor="text1"/>
        </w:rPr>
        <w:t>co in 2010 (Pellow et al., 2020).</w:t>
      </w:r>
      <w:r w:rsidR="00AC0219" w:rsidRPr="00C234D3">
        <w:rPr>
          <w:color w:val="000000" w:themeColor="text1"/>
        </w:rPr>
        <w:t xml:space="preserve"> In some states, </w:t>
      </w:r>
      <w:r w:rsidR="006D6C16" w:rsidRPr="00C234D3">
        <w:rPr>
          <w:color w:val="000000" w:themeColor="text1"/>
        </w:rPr>
        <w:t>incarcerated individuals</w:t>
      </w:r>
      <w:r w:rsidR="00AC0219" w:rsidRPr="00C234D3">
        <w:rPr>
          <w:color w:val="000000" w:themeColor="text1"/>
        </w:rPr>
        <w:t xml:space="preserve"> can also volunteer to fight wildfires without going through proper training (Weill, 2020). While </w:t>
      </w:r>
      <w:r w:rsidR="006D6C16" w:rsidRPr="00C234D3">
        <w:rPr>
          <w:color w:val="000000" w:themeColor="text1"/>
        </w:rPr>
        <w:t>incarcerated individuals</w:t>
      </w:r>
      <w:r w:rsidR="00AC0219" w:rsidRPr="00C234D3">
        <w:rPr>
          <w:color w:val="000000" w:themeColor="text1"/>
        </w:rPr>
        <w:t xml:space="preserve"> report that fighting fires is more enjoyable than being in prison, they are at risk of inhaling dangerous chemicals in the smoke</w:t>
      </w:r>
      <w:r w:rsidR="00BF43F3" w:rsidRPr="00C234D3">
        <w:rPr>
          <w:color w:val="000000" w:themeColor="text1"/>
        </w:rPr>
        <w:t>,</w:t>
      </w:r>
      <w:r w:rsidR="00AC0219" w:rsidRPr="00C234D3">
        <w:rPr>
          <w:color w:val="000000" w:themeColor="text1"/>
        </w:rPr>
        <w:t xml:space="preserve"> which can lead to illness and upper respiratory problems.</w:t>
      </w:r>
      <w:r w:rsidR="00BF43F3" w:rsidRPr="00C234D3">
        <w:rPr>
          <w:color w:val="000000" w:themeColor="text1"/>
        </w:rPr>
        <w:t xml:space="preserve"> </w:t>
      </w:r>
    </w:p>
    <w:p w14:paraId="2EC6D585" w14:textId="428C8D01" w:rsidR="009C2963" w:rsidRPr="00C234D3" w:rsidRDefault="00D60813" w:rsidP="00485E06">
      <w:pPr>
        <w:pStyle w:val="NormalWeb"/>
        <w:spacing w:before="0" w:beforeAutospacing="0" w:after="0" w:afterAutospacing="0" w:line="480" w:lineRule="auto"/>
        <w:ind w:firstLine="720"/>
        <w:rPr>
          <w:color w:val="000000" w:themeColor="text1"/>
        </w:rPr>
      </w:pPr>
      <w:r w:rsidRPr="00C234D3">
        <w:rPr>
          <w:color w:val="000000" w:themeColor="text1"/>
          <w:shd w:val="clear" w:color="auto" w:fill="FFFFFF"/>
        </w:rPr>
        <w:t>While these case studies highlight harmful pollution exposure that affects both incarcerated individuals and staff at these specific facilities,</w:t>
      </w:r>
      <w:r w:rsidR="000E4333" w:rsidRPr="00C234D3">
        <w:rPr>
          <w:color w:val="000000" w:themeColor="text1"/>
          <w:shd w:val="clear" w:color="auto" w:fill="FFFFFF"/>
        </w:rPr>
        <w:t xml:space="preserve"> or at disaster response sites,</w:t>
      </w:r>
      <w:r w:rsidRPr="00C234D3">
        <w:rPr>
          <w:color w:val="000000" w:themeColor="text1"/>
          <w:shd w:val="clear" w:color="auto" w:fill="FFFFFF"/>
        </w:rPr>
        <w:t xml:space="preserve"> </w:t>
      </w:r>
      <w:r w:rsidR="00E744B6" w:rsidRPr="00C234D3">
        <w:rPr>
          <w:color w:val="000000" w:themeColor="text1"/>
          <w:shd w:val="clear" w:color="auto" w:fill="FFFFFF"/>
        </w:rPr>
        <w:t xml:space="preserve">it is unclear from these studies if pollution issues </w:t>
      </w:r>
      <w:r w:rsidR="000C4B3B" w:rsidRPr="00C234D3">
        <w:rPr>
          <w:color w:val="000000" w:themeColor="text1"/>
          <w:shd w:val="clear" w:color="auto" w:fill="FFFFFF"/>
        </w:rPr>
        <w:t>affect prison areas more than non-prison areas</w:t>
      </w:r>
      <w:r w:rsidR="00E744B6" w:rsidRPr="00C234D3">
        <w:rPr>
          <w:color w:val="000000" w:themeColor="text1"/>
          <w:shd w:val="clear" w:color="auto" w:fill="FFFFFF"/>
        </w:rPr>
        <w:t>.</w:t>
      </w:r>
      <w:r w:rsidR="00E76E8E" w:rsidRPr="00C234D3">
        <w:rPr>
          <w:color w:val="000000" w:themeColor="text1"/>
          <w:shd w:val="clear" w:color="auto" w:fill="FFFFFF"/>
        </w:rPr>
        <w:t xml:space="preserve"> </w:t>
      </w:r>
      <w:r w:rsidR="004544EB" w:rsidRPr="00C234D3">
        <w:rPr>
          <w:color w:val="000000" w:themeColor="text1"/>
          <w:shd w:val="clear" w:color="auto" w:fill="FFFFFF"/>
        </w:rPr>
        <w:t xml:space="preserve">However, there are two recent studies that do assess pollution in </w:t>
      </w:r>
      <w:proofErr w:type="gramStart"/>
      <w:r w:rsidR="004544EB" w:rsidRPr="00C234D3">
        <w:rPr>
          <w:color w:val="000000" w:themeColor="text1"/>
          <w:shd w:val="clear" w:color="auto" w:fill="FFFFFF"/>
        </w:rPr>
        <w:t>correctional facilities</w:t>
      </w:r>
      <w:proofErr w:type="gramEnd"/>
      <w:r w:rsidR="004544EB" w:rsidRPr="00C234D3">
        <w:rPr>
          <w:color w:val="000000" w:themeColor="text1"/>
          <w:shd w:val="clear" w:color="auto" w:fill="FFFFFF"/>
        </w:rPr>
        <w:t xml:space="preserve"> </w:t>
      </w:r>
      <w:r w:rsidR="000C4B3B" w:rsidRPr="00C234D3">
        <w:rPr>
          <w:color w:val="000000" w:themeColor="text1"/>
          <w:shd w:val="clear" w:color="auto" w:fill="FFFFFF"/>
        </w:rPr>
        <w:t xml:space="preserve">over large land areas </w:t>
      </w:r>
      <w:r w:rsidR="004544EB" w:rsidRPr="00C234D3">
        <w:rPr>
          <w:color w:val="000000" w:themeColor="text1"/>
          <w:shd w:val="clear" w:color="auto" w:fill="FFFFFF"/>
        </w:rPr>
        <w:t xml:space="preserve">(Leon-Corwin et al., 2020; Toman, 2022). </w:t>
      </w:r>
      <w:r w:rsidR="003E111D" w:rsidRPr="00C234D3">
        <w:rPr>
          <w:color w:val="000000" w:themeColor="text1"/>
          <w:shd w:val="clear" w:color="auto" w:fill="FFFFFF"/>
        </w:rPr>
        <w:t xml:space="preserve">The first study </w:t>
      </w:r>
      <w:r w:rsidR="009C2963" w:rsidRPr="00C234D3">
        <w:rPr>
          <w:color w:val="000000" w:themeColor="text1"/>
          <w:shd w:val="clear" w:color="auto" w:fill="FFFFFF"/>
        </w:rPr>
        <w:t xml:space="preserve">explored if zip codes with prisons and zip codes adjacent to prison zip codes had higher levels of toxic release emissions relative to zip codes without prisons and not </w:t>
      </w:r>
      <w:r w:rsidR="00DD7997" w:rsidRPr="00C234D3">
        <w:rPr>
          <w:color w:val="000000" w:themeColor="text1"/>
          <w:shd w:val="clear" w:color="auto" w:fill="FFFFFF"/>
        </w:rPr>
        <w:t>adjacent to</w:t>
      </w:r>
      <w:r w:rsidR="009C2963" w:rsidRPr="00C234D3">
        <w:rPr>
          <w:color w:val="000000" w:themeColor="text1"/>
          <w:shd w:val="clear" w:color="auto" w:fill="FFFFFF"/>
        </w:rPr>
        <w:t xml:space="preserve"> prison zip codes in the state of </w:t>
      </w:r>
      <w:r w:rsidR="009C2963" w:rsidRPr="00C234D3">
        <w:rPr>
          <w:color w:val="000000" w:themeColor="text1"/>
          <w:shd w:val="clear" w:color="auto" w:fill="FFFFFF"/>
        </w:rPr>
        <w:lastRenderedPageBreak/>
        <w:t>Oklahoma (Leon-Corwin</w:t>
      </w:r>
      <w:r w:rsidR="006874D5" w:rsidRPr="00C234D3">
        <w:rPr>
          <w:color w:val="000000" w:themeColor="text1"/>
          <w:shd w:val="clear" w:color="auto" w:fill="FFFFFF"/>
        </w:rPr>
        <w:t xml:space="preserve"> et al.</w:t>
      </w:r>
      <w:r w:rsidR="009C2963" w:rsidRPr="00C234D3">
        <w:rPr>
          <w:color w:val="000000" w:themeColor="text1"/>
          <w:shd w:val="clear" w:color="auto" w:fill="FFFFFF"/>
        </w:rPr>
        <w:t xml:space="preserve">, 2020). Toxic release emissions are tracked by the </w:t>
      </w:r>
      <w:r w:rsidR="00BF43F3" w:rsidRPr="00C234D3">
        <w:rPr>
          <w:color w:val="000000" w:themeColor="text1"/>
        </w:rPr>
        <w:t>EPA</w:t>
      </w:r>
      <w:r w:rsidR="009C2963" w:rsidRPr="00C234D3">
        <w:rPr>
          <w:color w:val="000000" w:themeColor="text1"/>
        </w:rPr>
        <w:t xml:space="preserve"> and include emissions of 770 chemicals that pose a threat to human and non-human life (</w:t>
      </w:r>
      <w:r w:rsidR="00BB120C">
        <w:rPr>
          <w:color w:val="000000" w:themeColor="text1"/>
        </w:rPr>
        <w:t xml:space="preserve">U.S. </w:t>
      </w:r>
      <w:r w:rsidR="009C2963" w:rsidRPr="00C234D3">
        <w:rPr>
          <w:color w:val="000000" w:themeColor="text1"/>
        </w:rPr>
        <w:t xml:space="preserve">Environmental </w:t>
      </w:r>
      <w:r w:rsidR="00BA525D" w:rsidRPr="00C234D3">
        <w:rPr>
          <w:color w:val="000000" w:themeColor="text1"/>
        </w:rPr>
        <w:t>P</w:t>
      </w:r>
      <w:r w:rsidR="009C2963" w:rsidRPr="00C234D3">
        <w:rPr>
          <w:color w:val="000000" w:themeColor="text1"/>
        </w:rPr>
        <w:t>rotection Agency, 2022</w:t>
      </w:r>
      <w:r w:rsidR="00BA525D" w:rsidRPr="00C234D3">
        <w:rPr>
          <w:color w:val="000000" w:themeColor="text1"/>
        </w:rPr>
        <w:t>b</w:t>
      </w:r>
      <w:r w:rsidR="009C2963" w:rsidRPr="00C234D3">
        <w:rPr>
          <w:color w:val="000000" w:themeColor="text1"/>
        </w:rPr>
        <w:t xml:space="preserve">). </w:t>
      </w:r>
      <w:r w:rsidR="003E111D" w:rsidRPr="00C234D3">
        <w:rPr>
          <w:color w:val="000000" w:themeColor="text1"/>
          <w:shd w:val="clear" w:color="auto" w:fill="FFFFFF"/>
        </w:rPr>
        <w:t xml:space="preserve">Results </w:t>
      </w:r>
      <w:r w:rsidR="009C2963" w:rsidRPr="00C234D3">
        <w:rPr>
          <w:color w:val="000000" w:themeColor="text1"/>
          <w:shd w:val="clear" w:color="auto" w:fill="FFFFFF"/>
        </w:rPr>
        <w:t xml:space="preserve">of this study </w:t>
      </w:r>
      <w:r w:rsidR="003E111D" w:rsidRPr="00C234D3">
        <w:rPr>
          <w:color w:val="000000" w:themeColor="text1"/>
          <w:shd w:val="clear" w:color="auto" w:fill="FFFFFF"/>
        </w:rPr>
        <w:t xml:space="preserve">indicated </w:t>
      </w:r>
      <w:r w:rsidR="009C2963" w:rsidRPr="00C234D3">
        <w:rPr>
          <w:color w:val="000000" w:themeColor="text1"/>
        </w:rPr>
        <w:t xml:space="preserve">that the combination of prison zip codes and prison adjacent zip codes have significantly higher toxic release emissions compared to non-prison and prison adjacent zip codes, controlling for several demographic factors.   </w:t>
      </w:r>
    </w:p>
    <w:p w14:paraId="7EABE313" w14:textId="7417F060" w:rsidR="00135604" w:rsidRPr="00C234D3" w:rsidRDefault="003E111D" w:rsidP="00226F57">
      <w:pPr>
        <w:pStyle w:val="NormalWeb"/>
        <w:spacing w:before="0" w:beforeAutospacing="0" w:after="0" w:afterAutospacing="0" w:line="480" w:lineRule="auto"/>
        <w:ind w:firstLine="720"/>
        <w:rPr>
          <w:color w:val="000000" w:themeColor="text1"/>
        </w:rPr>
      </w:pPr>
      <w:r w:rsidRPr="00C234D3">
        <w:rPr>
          <w:color w:val="000000" w:themeColor="text1"/>
          <w:shd w:val="clear" w:color="auto" w:fill="FFFFFF"/>
        </w:rPr>
        <w:t>Toman (2022) built off th</w:t>
      </w:r>
      <w:r w:rsidR="006874D5" w:rsidRPr="00C234D3">
        <w:rPr>
          <w:color w:val="000000" w:themeColor="text1"/>
          <w:shd w:val="clear" w:color="auto" w:fill="FFFFFF"/>
        </w:rPr>
        <w:t xml:space="preserve">e work of Leon-Corwin </w:t>
      </w:r>
      <w:r w:rsidR="00BF43F3" w:rsidRPr="00C234D3">
        <w:rPr>
          <w:color w:val="000000" w:themeColor="text1"/>
          <w:shd w:val="clear" w:color="auto" w:fill="FFFFFF"/>
        </w:rPr>
        <w:t>and colleagues</w:t>
      </w:r>
      <w:r w:rsidR="009F06C2" w:rsidRPr="00C234D3">
        <w:rPr>
          <w:color w:val="000000" w:themeColor="text1"/>
          <w:shd w:val="clear" w:color="auto" w:fill="FFFFFF"/>
        </w:rPr>
        <w:t xml:space="preserve"> (2020) </w:t>
      </w:r>
      <w:r w:rsidR="006874D5" w:rsidRPr="00C234D3">
        <w:rPr>
          <w:color w:val="000000" w:themeColor="text1"/>
          <w:shd w:val="clear" w:color="auto" w:fill="FFFFFF"/>
        </w:rPr>
        <w:t xml:space="preserve">by investigating if there are differences in toxic release levels in </w:t>
      </w:r>
      <w:r w:rsidR="006874D5" w:rsidRPr="00C234D3">
        <w:rPr>
          <w:color w:val="000000" w:themeColor="text1"/>
        </w:rPr>
        <w:t xml:space="preserve">zip codes </w:t>
      </w:r>
      <w:r w:rsidR="00BF43F3" w:rsidRPr="00C234D3">
        <w:rPr>
          <w:color w:val="000000" w:themeColor="text1"/>
        </w:rPr>
        <w:t xml:space="preserve">with prisons and in zip codes next to prisons </w:t>
      </w:r>
      <w:r w:rsidR="006874D5" w:rsidRPr="00C234D3">
        <w:rPr>
          <w:color w:val="000000" w:themeColor="text1"/>
        </w:rPr>
        <w:t xml:space="preserve">relative to in zip codes that do not </w:t>
      </w:r>
      <w:r w:rsidR="00BF43F3" w:rsidRPr="00C234D3">
        <w:rPr>
          <w:color w:val="000000" w:themeColor="text1"/>
        </w:rPr>
        <w:t xml:space="preserve">have prisons and are not next to prison zip codes </w:t>
      </w:r>
      <w:r w:rsidR="006874D5" w:rsidRPr="00C234D3">
        <w:rPr>
          <w:color w:val="000000" w:themeColor="text1"/>
        </w:rPr>
        <w:t>throughout the entirety of the United States</w:t>
      </w:r>
      <w:r w:rsidRPr="00C234D3">
        <w:rPr>
          <w:color w:val="000000" w:themeColor="text1"/>
          <w:shd w:val="clear" w:color="auto" w:fill="FFFFFF"/>
        </w:rPr>
        <w:t xml:space="preserve">. </w:t>
      </w:r>
      <w:r w:rsidR="00485E06" w:rsidRPr="00C234D3">
        <w:rPr>
          <w:color w:val="000000" w:themeColor="text1"/>
          <w:shd w:val="clear" w:color="auto" w:fill="FFFFFF"/>
        </w:rPr>
        <w:t xml:space="preserve">Results revealed that zip codes with prisons and next to prison zip codes had higher emissions than zip codes without and not </w:t>
      </w:r>
      <w:r w:rsidR="007867A7">
        <w:rPr>
          <w:color w:val="000000" w:themeColor="text1"/>
          <w:shd w:val="clear" w:color="auto" w:fill="FFFFFF"/>
        </w:rPr>
        <w:t>next to</w:t>
      </w:r>
      <w:r w:rsidR="00485E06" w:rsidRPr="00C234D3">
        <w:rPr>
          <w:color w:val="000000" w:themeColor="text1"/>
          <w:shd w:val="clear" w:color="auto" w:fill="FFFFFF"/>
        </w:rPr>
        <w:t xml:space="preserve"> </w:t>
      </w:r>
      <w:proofErr w:type="spellStart"/>
      <w:r w:rsidR="00485E06" w:rsidRPr="00C234D3">
        <w:rPr>
          <w:color w:val="000000" w:themeColor="text1"/>
          <w:shd w:val="clear" w:color="auto" w:fill="FFFFFF"/>
        </w:rPr>
        <w:t>to</w:t>
      </w:r>
      <w:proofErr w:type="spellEnd"/>
      <w:r w:rsidR="00485E06" w:rsidRPr="00C234D3">
        <w:rPr>
          <w:color w:val="000000" w:themeColor="text1"/>
          <w:shd w:val="clear" w:color="auto" w:fill="FFFFFF"/>
        </w:rPr>
        <w:t xml:space="preserve"> prisons, but this relationship was not statistically significant. However, in certain geographical regions in the </w:t>
      </w:r>
      <w:r w:rsidR="00BF43F3" w:rsidRPr="00C234D3">
        <w:rPr>
          <w:color w:val="000000" w:themeColor="text1"/>
          <w:shd w:val="clear" w:color="auto" w:fill="FFFFFF"/>
        </w:rPr>
        <w:t>U.S.</w:t>
      </w:r>
      <w:r w:rsidR="00485E06" w:rsidRPr="00C234D3">
        <w:rPr>
          <w:color w:val="000000" w:themeColor="text1"/>
          <w:shd w:val="clear" w:color="auto" w:fill="FFFFFF"/>
        </w:rPr>
        <w:t xml:space="preserve"> including the </w:t>
      </w:r>
      <w:r w:rsidR="00485E06" w:rsidRPr="00C234D3">
        <w:rPr>
          <w:color w:val="000000" w:themeColor="text1"/>
        </w:rPr>
        <w:t xml:space="preserve">East North Central, Mountain, and Pacific regions, there was a significant association between </w:t>
      </w:r>
      <w:r w:rsidR="00B45DF1" w:rsidRPr="00C234D3">
        <w:rPr>
          <w:color w:val="000000" w:themeColor="text1"/>
        </w:rPr>
        <w:t xml:space="preserve">prison </w:t>
      </w:r>
      <w:r w:rsidR="00485E06" w:rsidRPr="00C234D3">
        <w:rPr>
          <w:color w:val="000000" w:themeColor="text1"/>
        </w:rPr>
        <w:t xml:space="preserve">zip code and emission levels. </w:t>
      </w:r>
    </w:p>
    <w:p w14:paraId="312BCF64" w14:textId="77777777" w:rsidR="00E744B6" w:rsidRPr="00C234D3" w:rsidRDefault="00622DFA" w:rsidP="002A07B6">
      <w:pPr>
        <w:pStyle w:val="NormalWeb"/>
        <w:spacing w:before="0" w:beforeAutospacing="0" w:after="0" w:afterAutospacing="0" w:line="480" w:lineRule="auto"/>
        <w:rPr>
          <w:b/>
          <w:bCs/>
          <w:color w:val="000000" w:themeColor="text1"/>
        </w:rPr>
      </w:pPr>
      <w:r w:rsidRPr="00C234D3">
        <w:rPr>
          <w:b/>
          <w:bCs/>
          <w:color w:val="000000" w:themeColor="text1"/>
        </w:rPr>
        <w:t>The Current Study</w:t>
      </w:r>
    </w:p>
    <w:p w14:paraId="19207AD5" w14:textId="744A0A44" w:rsidR="00427B5A" w:rsidRDefault="00F914D3" w:rsidP="00767585">
      <w:pPr>
        <w:pStyle w:val="NormalWeb"/>
        <w:spacing w:before="0" w:beforeAutospacing="0" w:after="0" w:afterAutospacing="0" w:line="480" w:lineRule="auto"/>
        <w:rPr>
          <w:color w:val="FF0000"/>
        </w:rPr>
      </w:pPr>
      <w:r w:rsidRPr="00324EAF">
        <w:t>T</w:t>
      </w:r>
      <w:r w:rsidR="00E744B6" w:rsidRPr="00324EAF">
        <w:t xml:space="preserve">he current study </w:t>
      </w:r>
      <w:r w:rsidR="00405B98" w:rsidRPr="00324EAF">
        <w:t xml:space="preserve">examines pollution in areas with and without </w:t>
      </w:r>
      <w:proofErr w:type="gramStart"/>
      <w:r w:rsidR="00C65E97">
        <w:t>correctional facilities</w:t>
      </w:r>
      <w:proofErr w:type="gramEnd"/>
      <w:r w:rsidR="00405B98" w:rsidRPr="00324EAF">
        <w:t xml:space="preserve">. More specifically, this study </w:t>
      </w:r>
      <w:r w:rsidR="00B05D57" w:rsidRPr="00324EAF">
        <w:t xml:space="preserve">examines if levels of </w:t>
      </w:r>
      <w:r w:rsidR="00B05D57" w:rsidRPr="00324EAF">
        <w:rPr>
          <w:color w:val="212529"/>
          <w:shd w:val="clear" w:color="auto" w:fill="FFFFFF"/>
        </w:rPr>
        <w:t>PM</w:t>
      </w:r>
      <w:r w:rsidR="00B05D57" w:rsidRPr="00324EAF">
        <w:rPr>
          <w:color w:val="212529"/>
          <w:shd w:val="clear" w:color="auto" w:fill="FFFFFF"/>
          <w:vertAlign w:val="subscript"/>
        </w:rPr>
        <w:t xml:space="preserve">2.5 </w:t>
      </w:r>
      <w:r w:rsidR="00B05D57" w:rsidRPr="00324EAF">
        <w:t xml:space="preserve">are different in counties with </w:t>
      </w:r>
      <w:r w:rsidR="004123B8" w:rsidRPr="00324EAF">
        <w:t>state-run correctional facilities</w:t>
      </w:r>
      <w:r w:rsidR="0091732C">
        <w:t xml:space="preserve">, or </w:t>
      </w:r>
      <w:r w:rsidR="004123B8" w:rsidRPr="00324EAF">
        <w:t>T</w:t>
      </w:r>
      <w:r w:rsidR="00FB3A5E">
        <w:t xml:space="preserve">exas </w:t>
      </w:r>
      <w:r w:rsidR="004123B8" w:rsidRPr="00324EAF">
        <w:t>D</w:t>
      </w:r>
      <w:r w:rsidR="00FB3A5E">
        <w:t xml:space="preserve">epartment of </w:t>
      </w:r>
      <w:r w:rsidR="004123B8" w:rsidRPr="00324EAF">
        <w:t>C</w:t>
      </w:r>
      <w:r w:rsidR="00FB3A5E">
        <w:t xml:space="preserve">riminal </w:t>
      </w:r>
      <w:r w:rsidR="004123B8" w:rsidRPr="00324EAF">
        <w:t>J</w:t>
      </w:r>
      <w:r w:rsidR="00FB3A5E">
        <w:t>ustice (TDCJ)</w:t>
      </w:r>
      <w:r w:rsidR="004123B8" w:rsidRPr="00324EAF">
        <w:t xml:space="preserve"> facilities </w:t>
      </w:r>
      <w:r w:rsidR="00B05D57" w:rsidRPr="00324EAF">
        <w:t>in Texas</w:t>
      </w:r>
      <w:r w:rsidR="00405B98" w:rsidRPr="00324EAF">
        <w:t xml:space="preserve"> relative to those counties without </w:t>
      </w:r>
      <w:r w:rsidR="004123B8" w:rsidRPr="00324EAF">
        <w:t>TDCJ</w:t>
      </w:r>
      <w:r w:rsidR="00405B98" w:rsidRPr="00324EAF">
        <w:t xml:space="preserve"> facilities</w:t>
      </w:r>
      <w:r w:rsidR="00BF43F3">
        <w:t>.</w:t>
      </w:r>
      <w:r w:rsidR="007A7EA2">
        <w:rPr>
          <w:rStyle w:val="FootnoteReference"/>
        </w:rPr>
        <w:footnoteReference w:id="2"/>
      </w:r>
      <w:r w:rsidR="00405B98" w:rsidRPr="00324EAF">
        <w:t xml:space="preserve"> </w:t>
      </w:r>
      <w:r w:rsidR="00BB2B44" w:rsidRPr="003335F1">
        <w:rPr>
          <w:color w:val="000000" w:themeColor="text1"/>
        </w:rPr>
        <w:t>We chose Texas as the geographic</w:t>
      </w:r>
      <w:r w:rsidR="00405B98" w:rsidRPr="003335F1">
        <w:rPr>
          <w:color w:val="000000" w:themeColor="text1"/>
        </w:rPr>
        <w:t xml:space="preserve"> area of</w:t>
      </w:r>
      <w:r w:rsidR="00BB2B44" w:rsidRPr="003335F1">
        <w:rPr>
          <w:color w:val="000000" w:themeColor="text1"/>
        </w:rPr>
        <w:t xml:space="preserve"> focus </w:t>
      </w:r>
      <w:r w:rsidR="00405B98" w:rsidRPr="003335F1">
        <w:rPr>
          <w:color w:val="000000" w:themeColor="text1"/>
        </w:rPr>
        <w:t xml:space="preserve">for </w:t>
      </w:r>
      <w:r w:rsidR="00BB2B44" w:rsidRPr="003335F1">
        <w:rPr>
          <w:color w:val="000000" w:themeColor="text1"/>
        </w:rPr>
        <w:t xml:space="preserve">this study </w:t>
      </w:r>
      <w:r w:rsidR="00E21668" w:rsidRPr="003335F1">
        <w:rPr>
          <w:color w:val="000000" w:themeColor="text1"/>
        </w:rPr>
        <w:t xml:space="preserve">for </w:t>
      </w:r>
      <w:r w:rsidR="00B40AE5" w:rsidRPr="003335F1">
        <w:rPr>
          <w:color w:val="000000" w:themeColor="text1"/>
        </w:rPr>
        <w:t>three</w:t>
      </w:r>
      <w:r w:rsidR="00E21668" w:rsidRPr="003335F1">
        <w:rPr>
          <w:color w:val="000000" w:themeColor="text1"/>
        </w:rPr>
        <w:t xml:space="preserve"> reasons: (1) </w:t>
      </w:r>
      <w:r w:rsidR="00BB2B44" w:rsidRPr="003335F1">
        <w:rPr>
          <w:color w:val="000000" w:themeColor="text1"/>
        </w:rPr>
        <w:t>because several a</w:t>
      </w:r>
      <w:r w:rsidR="00CC5032" w:rsidRPr="003335F1">
        <w:rPr>
          <w:color w:val="000000" w:themeColor="text1"/>
        </w:rPr>
        <w:t>reas in Texas</w:t>
      </w:r>
      <w:r w:rsidR="000C4B3B" w:rsidRPr="003335F1">
        <w:rPr>
          <w:color w:val="000000" w:themeColor="text1"/>
        </w:rPr>
        <w:t xml:space="preserve"> </w:t>
      </w:r>
      <w:r w:rsidR="00CC5032" w:rsidRPr="003335F1">
        <w:rPr>
          <w:color w:val="000000" w:themeColor="text1"/>
        </w:rPr>
        <w:t xml:space="preserve">have </w:t>
      </w:r>
      <w:r w:rsidR="00BB2B44" w:rsidRPr="003335F1">
        <w:rPr>
          <w:color w:val="000000" w:themeColor="text1"/>
        </w:rPr>
        <w:t xml:space="preserve">experienced increased levels of </w:t>
      </w:r>
      <w:r w:rsidR="00BB2B44" w:rsidRPr="003335F1">
        <w:rPr>
          <w:color w:val="000000" w:themeColor="text1"/>
          <w:shd w:val="clear" w:color="auto" w:fill="FFFFFF"/>
        </w:rPr>
        <w:t>PM</w:t>
      </w:r>
      <w:r w:rsidR="00BB2B44" w:rsidRPr="003335F1">
        <w:rPr>
          <w:color w:val="000000" w:themeColor="text1"/>
          <w:shd w:val="clear" w:color="auto" w:fill="FFFFFF"/>
          <w:vertAlign w:val="subscript"/>
        </w:rPr>
        <w:t xml:space="preserve">2.5 </w:t>
      </w:r>
      <w:r w:rsidR="00CC5032" w:rsidRPr="003335F1">
        <w:rPr>
          <w:color w:val="000000" w:themeColor="text1"/>
        </w:rPr>
        <w:t>over time (Colmer et al., 2020)</w:t>
      </w:r>
      <w:r w:rsidR="00D278F8">
        <w:rPr>
          <w:color w:val="000000" w:themeColor="text1"/>
        </w:rPr>
        <w:t>;</w:t>
      </w:r>
      <w:r w:rsidR="00E21668" w:rsidRPr="003335F1">
        <w:rPr>
          <w:color w:val="000000" w:themeColor="text1"/>
        </w:rPr>
        <w:t xml:space="preserve"> (2) </w:t>
      </w:r>
      <w:r w:rsidR="00D278F8">
        <w:rPr>
          <w:color w:val="000000" w:themeColor="text1"/>
        </w:rPr>
        <w:t xml:space="preserve">because </w:t>
      </w:r>
      <w:r w:rsidR="00E21668" w:rsidRPr="003335F1">
        <w:rPr>
          <w:color w:val="000000" w:themeColor="text1"/>
        </w:rPr>
        <w:t xml:space="preserve">Texas has the highest </w:t>
      </w:r>
      <w:r w:rsidR="00E21668" w:rsidRPr="003335F1">
        <w:rPr>
          <w:color w:val="000000" w:themeColor="text1"/>
        </w:rPr>
        <w:lastRenderedPageBreak/>
        <w:t>number of people in state correctional facilities out of all of the state</w:t>
      </w:r>
      <w:r w:rsidR="00D278F8">
        <w:rPr>
          <w:color w:val="000000" w:themeColor="text1"/>
        </w:rPr>
        <w:t>s</w:t>
      </w:r>
      <w:r w:rsidR="00E21668" w:rsidRPr="003335F1">
        <w:rPr>
          <w:color w:val="000000" w:themeColor="text1"/>
        </w:rPr>
        <w:t xml:space="preserve"> in the US (National Institute of Corrections, 2021)</w:t>
      </w:r>
      <w:r w:rsidR="00D278F8">
        <w:rPr>
          <w:color w:val="000000" w:themeColor="text1"/>
        </w:rPr>
        <w:t>;</w:t>
      </w:r>
      <w:r w:rsidR="00B40AE5" w:rsidRPr="003335F1">
        <w:rPr>
          <w:color w:val="000000" w:themeColor="text1"/>
        </w:rPr>
        <w:t xml:space="preserve"> and (3) </w:t>
      </w:r>
      <w:r w:rsidR="00D278F8">
        <w:rPr>
          <w:color w:val="000000" w:themeColor="text1"/>
        </w:rPr>
        <w:t xml:space="preserve">because </w:t>
      </w:r>
      <w:r w:rsidR="00B40AE5" w:rsidRPr="003335F1">
        <w:rPr>
          <w:color w:val="000000" w:themeColor="text1"/>
        </w:rPr>
        <w:t>Texas, and specifically TDCJ</w:t>
      </w:r>
      <w:r w:rsidR="00427B5A" w:rsidRPr="003335F1">
        <w:rPr>
          <w:color w:val="000000" w:themeColor="text1"/>
        </w:rPr>
        <w:t xml:space="preserve">, </w:t>
      </w:r>
      <w:r w:rsidR="00B40AE5" w:rsidRPr="003335F1">
        <w:rPr>
          <w:color w:val="000000" w:themeColor="text1"/>
        </w:rPr>
        <w:t>has a history of mistreating incarcerated individuals</w:t>
      </w:r>
      <w:r w:rsidR="00427B5A" w:rsidRPr="003335F1">
        <w:rPr>
          <w:color w:val="000000" w:themeColor="text1"/>
        </w:rPr>
        <w:t>. Incarcerated individuals in TDCJ facilities have been mistreated in several different ways, from being exposed to record-high temperatures in the summer (Clark, 2022), to experiencing an increase in fatal and nonfatal use of force from staff members</w:t>
      </w:r>
      <w:r w:rsidR="003335F1" w:rsidRPr="003335F1">
        <w:rPr>
          <w:color w:val="000000" w:themeColor="text1"/>
        </w:rPr>
        <w:t xml:space="preserve"> (McCullough, 2020)</w:t>
      </w:r>
      <w:r w:rsidR="00427B5A" w:rsidRPr="003335F1">
        <w:rPr>
          <w:color w:val="000000" w:themeColor="text1"/>
        </w:rPr>
        <w:t>, and reporting dissatisfaction in the grievance system when they feel they have been wronged by TDCJ</w:t>
      </w:r>
      <w:r w:rsidR="00262707" w:rsidRPr="003335F1">
        <w:rPr>
          <w:color w:val="000000" w:themeColor="text1"/>
        </w:rPr>
        <w:t xml:space="preserve"> (Prison Justice League, 2017)</w:t>
      </w:r>
      <w:r w:rsidR="00427B5A" w:rsidRPr="003335F1">
        <w:rPr>
          <w:color w:val="000000" w:themeColor="text1"/>
        </w:rPr>
        <w:t xml:space="preserve">. </w:t>
      </w:r>
      <w:r w:rsidR="00284CA7" w:rsidRPr="003335F1">
        <w:rPr>
          <w:color w:val="000000" w:themeColor="text1"/>
        </w:rPr>
        <w:t xml:space="preserve">By identifying potentially another way incarcerated people in TDCJ facilities are </w:t>
      </w:r>
      <w:r w:rsidR="006A1B80" w:rsidRPr="003335F1">
        <w:rPr>
          <w:color w:val="000000" w:themeColor="text1"/>
        </w:rPr>
        <w:t>being mistreated, this study could bring more awareness to these and other problematic conditions that exist in TDCJ facilities and hopefully result in changes that improve conditions for incarcerated individuals.</w:t>
      </w:r>
    </w:p>
    <w:p w14:paraId="793D2D30" w14:textId="38D4BC9C" w:rsidR="0009321B" w:rsidRDefault="00B40AE5" w:rsidP="00427B5A">
      <w:pPr>
        <w:pStyle w:val="NormalWeb"/>
        <w:spacing w:before="0" w:beforeAutospacing="0" w:after="0" w:afterAutospacing="0" w:line="480" w:lineRule="auto"/>
        <w:ind w:firstLine="720"/>
        <w:rPr>
          <w:color w:val="212529"/>
          <w:shd w:val="clear" w:color="auto" w:fill="FFFFFF"/>
        </w:rPr>
      </w:pPr>
      <w:r>
        <w:t>G</w:t>
      </w:r>
      <w:r w:rsidR="00A73997" w:rsidRPr="00324EAF">
        <w:rPr>
          <w:color w:val="212529"/>
          <w:shd w:val="clear" w:color="auto" w:fill="FFFFFF"/>
        </w:rPr>
        <w:t>iven the past evidence of environmental justice issues in prisons and the fact that PM</w:t>
      </w:r>
      <w:r w:rsidR="00A73997" w:rsidRPr="00324EAF">
        <w:rPr>
          <w:color w:val="212529"/>
          <w:shd w:val="clear" w:color="auto" w:fill="FFFFFF"/>
          <w:vertAlign w:val="subscript"/>
        </w:rPr>
        <w:t xml:space="preserve">2.5 </w:t>
      </w:r>
      <w:r w:rsidR="00A73997" w:rsidRPr="00324EAF">
        <w:rPr>
          <w:color w:val="212529"/>
          <w:shd w:val="clear" w:color="auto" w:fill="FFFFFF"/>
        </w:rPr>
        <w:t xml:space="preserve">levels are typically higher in disadvantaged communities, </w:t>
      </w:r>
      <w:r w:rsidR="00B42732">
        <w:rPr>
          <w:color w:val="212529"/>
          <w:shd w:val="clear" w:color="auto" w:fill="FFFFFF"/>
        </w:rPr>
        <w:t xml:space="preserve">where prisons are often located (Eason, 2010), </w:t>
      </w:r>
      <w:r w:rsidR="00A73997" w:rsidRPr="00324EAF">
        <w:rPr>
          <w:color w:val="212529"/>
          <w:shd w:val="clear" w:color="auto" w:fill="FFFFFF"/>
        </w:rPr>
        <w:t xml:space="preserve">we hypothesize that counties with </w:t>
      </w:r>
      <w:r w:rsidR="004123B8" w:rsidRPr="00324EAF">
        <w:rPr>
          <w:color w:val="212529"/>
          <w:shd w:val="clear" w:color="auto" w:fill="FFFFFF"/>
        </w:rPr>
        <w:t>TDCJ</w:t>
      </w:r>
      <w:r w:rsidR="00A73997" w:rsidRPr="00324EAF">
        <w:rPr>
          <w:color w:val="212529"/>
          <w:shd w:val="clear" w:color="auto" w:fill="FFFFFF"/>
        </w:rPr>
        <w:t xml:space="preserve"> facilities </w:t>
      </w:r>
      <w:r w:rsidR="004123B8" w:rsidRPr="00324EAF">
        <w:rPr>
          <w:color w:val="212529"/>
          <w:shd w:val="clear" w:color="auto" w:fill="FFFFFF"/>
        </w:rPr>
        <w:t>will have significantly higher levels of PM</w:t>
      </w:r>
      <w:r w:rsidR="004123B8" w:rsidRPr="00324EAF">
        <w:rPr>
          <w:color w:val="212529"/>
          <w:shd w:val="clear" w:color="auto" w:fill="FFFFFF"/>
          <w:vertAlign w:val="subscript"/>
        </w:rPr>
        <w:t>2.5</w:t>
      </w:r>
      <w:r w:rsidR="00C23687">
        <w:rPr>
          <w:color w:val="212529"/>
          <w:shd w:val="clear" w:color="auto" w:fill="FFFFFF"/>
        </w:rPr>
        <w:t>.</w:t>
      </w:r>
      <w:r w:rsidR="00427B5A">
        <w:rPr>
          <w:color w:val="212529"/>
          <w:shd w:val="clear" w:color="auto" w:fill="FFFFFF"/>
        </w:rPr>
        <w:t xml:space="preserve"> </w:t>
      </w:r>
      <w:r w:rsidR="00A36E81" w:rsidRPr="00324EAF">
        <w:rPr>
          <w:color w:val="212529"/>
          <w:shd w:val="clear" w:color="auto" w:fill="FFFFFF"/>
        </w:rPr>
        <w:t>This is an important topic to investigate given the problematic health issues associated with PM</w:t>
      </w:r>
      <w:r w:rsidR="00A36E81" w:rsidRPr="00324EAF">
        <w:rPr>
          <w:color w:val="212529"/>
          <w:shd w:val="clear" w:color="auto" w:fill="FFFFFF"/>
          <w:vertAlign w:val="subscript"/>
        </w:rPr>
        <w:t xml:space="preserve">2.5 </w:t>
      </w:r>
      <w:r w:rsidR="00A36E81" w:rsidRPr="00324EAF">
        <w:rPr>
          <w:color w:val="212529"/>
          <w:shd w:val="clear" w:color="auto" w:fill="FFFFFF"/>
        </w:rPr>
        <w:t xml:space="preserve">and the fact that incarcerated individuals often have access </w:t>
      </w:r>
      <w:r w:rsidR="00D278F8">
        <w:rPr>
          <w:color w:val="212529"/>
          <w:shd w:val="clear" w:color="auto" w:fill="FFFFFF"/>
        </w:rPr>
        <w:t xml:space="preserve">only </w:t>
      </w:r>
      <w:r w:rsidR="00A36E81" w:rsidRPr="00324EAF">
        <w:rPr>
          <w:color w:val="212529"/>
          <w:shd w:val="clear" w:color="auto" w:fill="FFFFFF"/>
        </w:rPr>
        <w:t>to basic and low-quality healthcare (</w:t>
      </w:r>
      <w:r w:rsidR="009C49E7">
        <w:rPr>
          <w:color w:val="212529"/>
          <w:shd w:val="clear" w:color="auto" w:fill="FFFFFF"/>
        </w:rPr>
        <w:t xml:space="preserve">Prost et al., 2021; </w:t>
      </w:r>
      <w:r w:rsidR="00A36E81" w:rsidRPr="00324EAF">
        <w:rPr>
          <w:color w:val="212529"/>
          <w:shd w:val="clear" w:color="auto" w:fill="FFFFFF"/>
        </w:rPr>
        <w:t xml:space="preserve">Vaughn &amp; Carroll, 1998). </w:t>
      </w:r>
      <w:r w:rsidR="00CA6BA8">
        <w:rPr>
          <w:color w:val="212529"/>
          <w:shd w:val="clear" w:color="auto" w:fill="FFFFFF"/>
        </w:rPr>
        <w:t xml:space="preserve">While members of the </w:t>
      </w:r>
      <w:r w:rsidR="0032116B">
        <w:rPr>
          <w:color w:val="212529"/>
          <w:shd w:val="clear" w:color="auto" w:fill="FFFFFF"/>
        </w:rPr>
        <w:t>public</w:t>
      </w:r>
      <w:r w:rsidR="00CA6BA8">
        <w:rPr>
          <w:color w:val="212529"/>
          <w:shd w:val="clear" w:color="auto" w:fill="FFFFFF"/>
        </w:rPr>
        <w:t xml:space="preserve"> also live in areas with high </w:t>
      </w:r>
      <w:r w:rsidR="00CA6BA8" w:rsidRPr="00324EAF">
        <w:rPr>
          <w:color w:val="212529"/>
          <w:shd w:val="clear" w:color="auto" w:fill="FFFFFF"/>
        </w:rPr>
        <w:t>PM</w:t>
      </w:r>
      <w:r w:rsidR="00CA6BA8" w:rsidRPr="00324EAF">
        <w:rPr>
          <w:color w:val="212529"/>
          <w:shd w:val="clear" w:color="auto" w:fill="FFFFFF"/>
          <w:vertAlign w:val="subscript"/>
        </w:rPr>
        <w:t>2.5</w:t>
      </w:r>
      <w:r w:rsidR="00CA6BA8" w:rsidRPr="00324EAF">
        <w:rPr>
          <w:color w:val="212529"/>
          <w:shd w:val="clear" w:color="auto" w:fill="FFFFFF"/>
        </w:rPr>
        <w:t xml:space="preserve"> </w:t>
      </w:r>
      <w:r w:rsidR="00CA6BA8">
        <w:rPr>
          <w:color w:val="212529"/>
          <w:shd w:val="clear" w:color="auto" w:fill="FFFFFF"/>
        </w:rPr>
        <w:t>concentrations, they</w:t>
      </w:r>
      <w:r w:rsidR="00246832">
        <w:rPr>
          <w:color w:val="212529"/>
          <w:shd w:val="clear" w:color="auto" w:fill="FFFFFF"/>
        </w:rPr>
        <w:t xml:space="preserve"> generally have agency, though in some cases, historical and structural factors such as poverty make it difficult or impossible to move</w:t>
      </w:r>
      <w:r w:rsidR="00CA6BA8">
        <w:rPr>
          <w:color w:val="212529"/>
          <w:shd w:val="clear" w:color="auto" w:fill="FFFFFF"/>
        </w:rPr>
        <w:t xml:space="preserve">. </w:t>
      </w:r>
      <w:r w:rsidR="0009321B" w:rsidRPr="00324EAF">
        <w:rPr>
          <w:color w:val="212529"/>
          <w:shd w:val="clear" w:color="auto" w:fill="FFFFFF"/>
        </w:rPr>
        <w:t xml:space="preserve">Individuals serving time in TDCJ </w:t>
      </w:r>
      <w:r w:rsidR="00324EAF" w:rsidRPr="00324EAF">
        <w:rPr>
          <w:color w:val="212529"/>
          <w:shd w:val="clear" w:color="auto" w:fill="FFFFFF"/>
        </w:rPr>
        <w:t>facilities</w:t>
      </w:r>
      <w:r w:rsidR="00D35E09">
        <w:rPr>
          <w:color w:val="212529"/>
          <w:shd w:val="clear" w:color="auto" w:fill="FFFFFF"/>
        </w:rPr>
        <w:t>,</w:t>
      </w:r>
      <w:r w:rsidR="00CA6BA8">
        <w:rPr>
          <w:color w:val="212529"/>
          <w:shd w:val="clear" w:color="auto" w:fill="FFFFFF"/>
        </w:rPr>
        <w:t xml:space="preserve"> however, </w:t>
      </w:r>
      <w:r w:rsidR="00CA6BA8" w:rsidRPr="00324EAF">
        <w:rPr>
          <w:color w:val="212529"/>
          <w:shd w:val="clear" w:color="auto" w:fill="FFFFFF"/>
        </w:rPr>
        <w:t xml:space="preserve">do not have a say in which county or facility they are placed in and have no control over the conditions of their facility – from the food they are given to eat, the water they are given to drink, and the environmental toxins </w:t>
      </w:r>
      <w:r w:rsidR="00D278F8">
        <w:rPr>
          <w:color w:val="212529"/>
          <w:shd w:val="clear" w:color="auto" w:fill="FFFFFF"/>
        </w:rPr>
        <w:t>to which they are exposed</w:t>
      </w:r>
      <w:r w:rsidR="00CA6BA8" w:rsidRPr="00324EAF">
        <w:rPr>
          <w:color w:val="212529"/>
          <w:shd w:val="clear" w:color="auto" w:fill="FFFFFF"/>
        </w:rPr>
        <w:t xml:space="preserve">. </w:t>
      </w:r>
      <w:r w:rsidR="00CA6BA8">
        <w:rPr>
          <w:color w:val="212529"/>
          <w:shd w:val="clear" w:color="auto" w:fill="FFFFFF"/>
        </w:rPr>
        <w:t xml:space="preserve">They </w:t>
      </w:r>
      <w:r w:rsidR="0009321B" w:rsidRPr="00324EAF">
        <w:rPr>
          <w:color w:val="212529"/>
          <w:shd w:val="clear" w:color="auto" w:fill="FFFFFF"/>
        </w:rPr>
        <w:t>rely on the state of Texas to keep them safe and healthy. If exposure to high levels of PM</w:t>
      </w:r>
      <w:r w:rsidR="0009321B" w:rsidRPr="00324EAF">
        <w:rPr>
          <w:color w:val="212529"/>
          <w:shd w:val="clear" w:color="auto" w:fill="FFFFFF"/>
          <w:vertAlign w:val="subscript"/>
        </w:rPr>
        <w:t>2.5</w:t>
      </w:r>
      <w:r w:rsidR="0009321B" w:rsidRPr="00324EAF">
        <w:rPr>
          <w:color w:val="212529"/>
          <w:shd w:val="clear" w:color="auto" w:fill="FFFFFF"/>
        </w:rPr>
        <w:t xml:space="preserve"> adversely affects </w:t>
      </w:r>
      <w:r w:rsidR="006D6C16">
        <w:rPr>
          <w:color w:val="212529"/>
          <w:shd w:val="clear" w:color="auto" w:fill="FFFFFF"/>
        </w:rPr>
        <w:t xml:space="preserve">the </w:t>
      </w:r>
      <w:r w:rsidR="0009321B" w:rsidRPr="00324EAF">
        <w:rPr>
          <w:color w:val="212529"/>
          <w:shd w:val="clear" w:color="auto" w:fill="FFFFFF"/>
        </w:rPr>
        <w:t xml:space="preserve">health and </w:t>
      </w:r>
      <w:r w:rsidR="00D35E09">
        <w:rPr>
          <w:color w:val="212529"/>
          <w:shd w:val="clear" w:color="auto" w:fill="FFFFFF"/>
        </w:rPr>
        <w:t>well-being</w:t>
      </w:r>
      <w:r w:rsidR="006D6C16">
        <w:rPr>
          <w:color w:val="212529"/>
          <w:shd w:val="clear" w:color="auto" w:fill="FFFFFF"/>
        </w:rPr>
        <w:t xml:space="preserve"> of incarcerated individuals</w:t>
      </w:r>
      <w:r w:rsidR="0009321B" w:rsidRPr="00324EAF">
        <w:rPr>
          <w:color w:val="212529"/>
          <w:shd w:val="clear" w:color="auto" w:fill="FFFFFF"/>
        </w:rPr>
        <w:t xml:space="preserve">, then </w:t>
      </w:r>
      <w:r w:rsidR="0009321B" w:rsidRPr="00324EAF">
        <w:rPr>
          <w:color w:val="212529"/>
          <w:shd w:val="clear" w:color="auto" w:fill="FFFFFF"/>
        </w:rPr>
        <w:lastRenderedPageBreak/>
        <w:t>the state of Texas has the responsibility to make changes</w:t>
      </w:r>
      <w:r w:rsidR="00B30B9B">
        <w:rPr>
          <w:color w:val="212529"/>
          <w:shd w:val="clear" w:color="auto" w:fill="FFFFFF"/>
        </w:rPr>
        <w:t xml:space="preserve"> to better protect them from exposure</w:t>
      </w:r>
      <w:r w:rsidR="0009321B" w:rsidRPr="00324EAF">
        <w:rPr>
          <w:color w:val="212529"/>
          <w:shd w:val="clear" w:color="auto" w:fill="FFFFFF"/>
        </w:rPr>
        <w:t>. These changes could include improving access to and quality of healthcare</w:t>
      </w:r>
      <w:r w:rsidR="00C45769">
        <w:rPr>
          <w:color w:val="212529"/>
          <w:shd w:val="clear" w:color="auto" w:fill="FFFFFF"/>
        </w:rPr>
        <w:t xml:space="preserve"> for incarcerated people</w:t>
      </w:r>
      <w:r w:rsidR="0009321B" w:rsidRPr="00324EAF">
        <w:rPr>
          <w:color w:val="212529"/>
          <w:shd w:val="clear" w:color="auto" w:fill="FFFFFF"/>
        </w:rPr>
        <w:t xml:space="preserve">, improving </w:t>
      </w:r>
      <w:r w:rsidR="00D35E09">
        <w:rPr>
          <w:color w:val="212529"/>
          <w:shd w:val="clear" w:color="auto" w:fill="FFFFFF"/>
        </w:rPr>
        <w:t xml:space="preserve">the </w:t>
      </w:r>
      <w:r w:rsidR="0009321B" w:rsidRPr="00324EAF">
        <w:rPr>
          <w:color w:val="212529"/>
          <w:shd w:val="clear" w:color="auto" w:fill="FFFFFF"/>
        </w:rPr>
        <w:t>air quality in</w:t>
      </w:r>
      <w:r w:rsidR="0091732C">
        <w:rPr>
          <w:color w:val="212529"/>
          <w:shd w:val="clear" w:color="auto" w:fill="FFFFFF"/>
        </w:rPr>
        <w:t>side</w:t>
      </w:r>
      <w:r w:rsidR="0009321B" w:rsidRPr="00324EAF">
        <w:rPr>
          <w:color w:val="212529"/>
          <w:shd w:val="clear" w:color="auto" w:fill="FFFFFF"/>
        </w:rPr>
        <w:t xml:space="preserve"> TDCJ facilities, and working with the largest </w:t>
      </w:r>
      <w:r w:rsidR="00D278F8">
        <w:rPr>
          <w:color w:val="212529"/>
          <w:shd w:val="clear" w:color="auto" w:fill="FFFFFF"/>
        </w:rPr>
        <w:t>human</w:t>
      </w:r>
      <w:r w:rsidR="0009321B" w:rsidRPr="00324EAF">
        <w:rPr>
          <w:color w:val="212529"/>
          <w:shd w:val="clear" w:color="auto" w:fill="FFFFFF"/>
        </w:rPr>
        <w:t xml:space="preserve">-made producers </w:t>
      </w:r>
      <w:r w:rsidR="00B30B9B">
        <w:rPr>
          <w:color w:val="212529"/>
          <w:shd w:val="clear" w:color="auto" w:fill="FFFFFF"/>
        </w:rPr>
        <w:t xml:space="preserve">of </w:t>
      </w:r>
      <w:r w:rsidR="0009321B" w:rsidRPr="00324EAF">
        <w:rPr>
          <w:color w:val="212529"/>
          <w:shd w:val="clear" w:color="auto" w:fill="FFFFFF"/>
        </w:rPr>
        <w:t>PM</w:t>
      </w:r>
      <w:r w:rsidR="0009321B" w:rsidRPr="00324EAF">
        <w:rPr>
          <w:color w:val="212529"/>
          <w:shd w:val="clear" w:color="auto" w:fill="FFFFFF"/>
          <w:vertAlign w:val="subscript"/>
        </w:rPr>
        <w:t>2.5</w:t>
      </w:r>
      <w:r w:rsidR="0009321B" w:rsidRPr="00324EAF">
        <w:rPr>
          <w:color w:val="212529"/>
          <w:shd w:val="clear" w:color="auto" w:fill="FFFFFF"/>
        </w:rPr>
        <w:t xml:space="preserve"> to lower levels of PM</w:t>
      </w:r>
      <w:r w:rsidR="0009321B" w:rsidRPr="00324EAF">
        <w:rPr>
          <w:color w:val="212529"/>
          <w:shd w:val="clear" w:color="auto" w:fill="FFFFFF"/>
          <w:vertAlign w:val="subscript"/>
        </w:rPr>
        <w:t>2.5</w:t>
      </w:r>
      <w:r w:rsidR="0009321B" w:rsidRPr="00324EAF">
        <w:rPr>
          <w:color w:val="212529"/>
          <w:shd w:val="clear" w:color="auto" w:fill="FFFFFF"/>
        </w:rPr>
        <w:t xml:space="preserve"> in the surrounding airspace.</w:t>
      </w:r>
      <w:r w:rsidR="0009321B">
        <w:rPr>
          <w:color w:val="212529"/>
          <w:shd w:val="clear" w:color="auto" w:fill="FFFFFF"/>
        </w:rPr>
        <w:t xml:space="preserve"> </w:t>
      </w:r>
    </w:p>
    <w:p w14:paraId="7C866E55" w14:textId="627945BB" w:rsidR="00622DFA" w:rsidRPr="00392719" w:rsidRDefault="00407754" w:rsidP="002A07B6">
      <w:pPr>
        <w:pStyle w:val="NormalWeb"/>
        <w:spacing w:before="0" w:beforeAutospacing="0" w:after="0" w:afterAutospacing="0" w:line="480" w:lineRule="auto"/>
        <w:rPr>
          <w:b/>
          <w:bCs/>
        </w:rPr>
      </w:pPr>
      <w:r w:rsidRPr="00392719">
        <w:rPr>
          <w:b/>
          <w:bCs/>
        </w:rPr>
        <w:t xml:space="preserve">Data and </w:t>
      </w:r>
      <w:r w:rsidR="00622DFA" w:rsidRPr="00392719">
        <w:rPr>
          <w:b/>
          <w:bCs/>
        </w:rPr>
        <w:t xml:space="preserve">Methods </w:t>
      </w:r>
    </w:p>
    <w:p w14:paraId="62F73F69" w14:textId="116C6ABB" w:rsidR="006E1F96" w:rsidRPr="00621E60" w:rsidRDefault="006E1F96" w:rsidP="00C30943">
      <w:pPr>
        <w:spacing w:line="480" w:lineRule="auto"/>
      </w:pPr>
      <w:r w:rsidRPr="00392719">
        <w:t>This study uses data from three sources: 1) the Centers for Disease Control and Prevention (CDC) National Environmental Public Health Tracking Network (Tracking Network)</w:t>
      </w:r>
      <w:r w:rsidR="00D278F8">
        <w:t>;</w:t>
      </w:r>
      <w:r w:rsidRPr="00392719">
        <w:t xml:space="preserve"> 2) the Texas Department of Criminal Justice</w:t>
      </w:r>
      <w:r w:rsidR="00D278F8">
        <w:t>;</w:t>
      </w:r>
      <w:r w:rsidRPr="00392719">
        <w:t xml:space="preserve"> and 3) </w:t>
      </w:r>
      <w:r w:rsidR="00703F61" w:rsidRPr="00392719">
        <w:t>the U</w:t>
      </w:r>
      <w:r w:rsidR="0091732C">
        <w:t>.</w:t>
      </w:r>
      <w:r w:rsidR="00703F61" w:rsidRPr="00392719">
        <w:t>S</w:t>
      </w:r>
      <w:r w:rsidR="0091732C">
        <w:t>.</w:t>
      </w:r>
      <w:r w:rsidR="00703F61" w:rsidRPr="00392719">
        <w:t xml:space="preserve"> Census Bureau’s </w:t>
      </w:r>
      <w:r w:rsidR="00CB666D">
        <w:t>2015-2019 5-year</w:t>
      </w:r>
      <w:r w:rsidR="00703F61" w:rsidRPr="00392719">
        <w:t xml:space="preserve"> American Community Survey</w:t>
      </w:r>
      <w:r w:rsidR="00A15C0D">
        <w:t xml:space="preserve"> (ACS)</w:t>
      </w:r>
      <w:r w:rsidR="00703F61" w:rsidRPr="00392719">
        <w:t xml:space="preserve">. The Tracking Network was used to collect county-level </w:t>
      </w:r>
      <w:r w:rsidR="00CD18FD">
        <w:t xml:space="preserve">historical </w:t>
      </w:r>
      <w:r w:rsidR="00703F61" w:rsidRPr="00392719">
        <w:t>average</w:t>
      </w:r>
      <w:r w:rsidR="00392719">
        <w:t>s of</w:t>
      </w:r>
      <w:r w:rsidR="00703F61" w:rsidRPr="00392719">
        <w:t xml:space="preserve"> </w:t>
      </w:r>
      <w:r w:rsidR="00703F61" w:rsidRPr="00392719">
        <w:rPr>
          <w:color w:val="212529"/>
          <w:shd w:val="clear" w:color="auto" w:fill="FFFFFF"/>
        </w:rPr>
        <w:t>PM</w:t>
      </w:r>
      <w:r w:rsidR="00703F61" w:rsidRPr="00392719">
        <w:rPr>
          <w:color w:val="212529"/>
          <w:shd w:val="clear" w:color="auto" w:fill="FFFFFF"/>
          <w:vertAlign w:val="subscript"/>
        </w:rPr>
        <w:t>2.5</w:t>
      </w:r>
      <w:r w:rsidR="00703F61" w:rsidRPr="00392719">
        <w:t xml:space="preserve"> concentrations in Texas</w:t>
      </w:r>
      <w:r w:rsidR="00392719">
        <w:t xml:space="preserve"> for 2018.</w:t>
      </w:r>
      <w:r w:rsidR="00392719">
        <w:rPr>
          <w:rStyle w:val="FootnoteReference"/>
        </w:rPr>
        <w:footnoteReference w:id="3"/>
      </w:r>
      <w:r w:rsidR="00392719">
        <w:t xml:space="preserve"> </w:t>
      </w:r>
      <w:r w:rsidR="00136C6F">
        <w:t>County-level</w:t>
      </w:r>
      <w:r w:rsidR="00A15C0D">
        <w:t xml:space="preserve"> </w:t>
      </w:r>
      <w:r w:rsidR="00A15C0D" w:rsidRPr="00392719">
        <w:rPr>
          <w:color w:val="212529"/>
          <w:shd w:val="clear" w:color="auto" w:fill="FFFFFF"/>
        </w:rPr>
        <w:t>PM</w:t>
      </w:r>
      <w:r w:rsidR="00A15C0D" w:rsidRPr="00392719">
        <w:rPr>
          <w:color w:val="212529"/>
          <w:shd w:val="clear" w:color="auto" w:fill="FFFFFF"/>
          <w:vertAlign w:val="subscript"/>
        </w:rPr>
        <w:t>2.5</w:t>
      </w:r>
      <w:r w:rsidR="00A15C0D" w:rsidRPr="00392719">
        <w:t xml:space="preserve"> </w:t>
      </w:r>
      <w:r w:rsidR="00136C6F">
        <w:t xml:space="preserve">concentrations </w:t>
      </w:r>
      <w:r w:rsidR="00A15C0D">
        <w:t>w</w:t>
      </w:r>
      <w:r w:rsidR="00136C6F">
        <w:t xml:space="preserve">ere </w:t>
      </w:r>
      <w:r w:rsidR="00A15C0D">
        <w:t xml:space="preserve">available for all 254 counties in Texas. </w:t>
      </w:r>
      <w:r w:rsidR="00392719">
        <w:t xml:space="preserve">The TDCJ website was used to identify Texas counties with one or more </w:t>
      </w:r>
      <w:r w:rsidR="008E2401">
        <w:t>TDCJ facilities</w:t>
      </w:r>
      <w:r w:rsidR="00823C30">
        <w:t>.</w:t>
      </w:r>
      <w:r w:rsidR="00392719">
        <w:rPr>
          <w:rStyle w:val="FootnoteReference"/>
        </w:rPr>
        <w:footnoteReference w:id="4"/>
      </w:r>
      <w:r w:rsidR="00621E60">
        <w:t xml:space="preserve"> </w:t>
      </w:r>
      <w:r w:rsidR="00F02418">
        <w:t>The ACS collects annual information from households in all 50 states</w:t>
      </w:r>
      <w:r w:rsidR="00823C30">
        <w:t>,</w:t>
      </w:r>
      <w:r w:rsidR="00F02418">
        <w:t xml:space="preserve"> as well as Washington</w:t>
      </w:r>
      <w:r w:rsidR="00823C30">
        <w:t>,</w:t>
      </w:r>
      <w:r w:rsidR="00F02418">
        <w:t xml:space="preserve"> D.C.</w:t>
      </w:r>
      <w:r w:rsidR="00823C30">
        <w:t>,</w:t>
      </w:r>
      <w:r w:rsidR="00F02418">
        <w:t xml:space="preserve"> and Puerto Rico. Every year, about 3.5 million households are chosen to participate in the survey and one member from each household is instructed to provide demographic information on all persons living in that household. Information collected includes educational attainment, income, home ownership, citizen status, etc. R</w:t>
      </w:r>
      <w:r w:rsidR="00A15C0D">
        <w:t xml:space="preserve">esults of the </w:t>
      </w:r>
      <w:r w:rsidR="00CB666D">
        <w:t>2015-2019</w:t>
      </w:r>
      <w:r w:rsidR="00A15C0D">
        <w:t xml:space="preserve"> </w:t>
      </w:r>
      <w:r w:rsidR="00CB666D">
        <w:t xml:space="preserve">5-year </w:t>
      </w:r>
      <w:r w:rsidR="00A15C0D">
        <w:t xml:space="preserve">ACS were used to gather </w:t>
      </w:r>
      <w:r w:rsidR="0011066F">
        <w:t xml:space="preserve">county land area, the percentage of employed people in industry jobs, </w:t>
      </w:r>
      <w:r w:rsidR="00A15C0D">
        <w:t>median household income data, population density</w:t>
      </w:r>
      <w:r w:rsidR="00745C21">
        <w:t>,</w:t>
      </w:r>
      <w:r w:rsidR="0011066F">
        <w:t xml:space="preserve"> and </w:t>
      </w:r>
      <w:r w:rsidR="00745C21">
        <w:t>the racial makeup of residents</w:t>
      </w:r>
      <w:r w:rsidR="00745C21" w:rsidRPr="00745C21">
        <w:t xml:space="preserve"> </w:t>
      </w:r>
      <w:r w:rsidR="00745C21">
        <w:t>in Texas counties</w:t>
      </w:r>
      <w:r w:rsidR="00A15C0D">
        <w:t>.</w:t>
      </w:r>
      <w:r w:rsidR="00A35A3F">
        <w:rPr>
          <w:rStyle w:val="FootnoteReference"/>
        </w:rPr>
        <w:footnoteReference w:id="5"/>
      </w:r>
      <w:r w:rsidR="00A15C0D">
        <w:t xml:space="preserve"> The ACS had information for all Texas counties</w:t>
      </w:r>
      <w:r w:rsidR="00A35A3F">
        <w:t>,</w:t>
      </w:r>
      <w:r w:rsidR="00A15C0D">
        <w:t xml:space="preserve"> so every county</w:t>
      </w:r>
      <w:r w:rsidR="00A35A3F">
        <w:t xml:space="preserve"> in the state</w:t>
      </w:r>
      <w:r w:rsidR="00A15C0D">
        <w:t xml:space="preserve"> was included in the analyses. </w:t>
      </w:r>
    </w:p>
    <w:p w14:paraId="5F0EE48C" w14:textId="38FA7481" w:rsidR="00407754" w:rsidRDefault="00407754" w:rsidP="00C30943">
      <w:pPr>
        <w:pStyle w:val="NormalWeb"/>
        <w:spacing w:before="0" w:beforeAutospacing="0" w:after="0" w:afterAutospacing="0" w:line="480" w:lineRule="auto"/>
        <w:rPr>
          <w:b/>
          <w:bCs/>
          <w:i/>
          <w:iCs/>
        </w:rPr>
      </w:pPr>
      <w:r>
        <w:rPr>
          <w:b/>
          <w:bCs/>
          <w:i/>
          <w:iCs/>
        </w:rPr>
        <w:lastRenderedPageBreak/>
        <w:t>Dependent Variables</w:t>
      </w:r>
    </w:p>
    <w:p w14:paraId="7B544C1B" w14:textId="07473738" w:rsidR="00136C6F" w:rsidRPr="00417620" w:rsidRDefault="00136C6F" w:rsidP="00C30943">
      <w:pPr>
        <w:pStyle w:val="NormalWeb"/>
        <w:spacing w:before="0" w:beforeAutospacing="0" w:after="0" w:afterAutospacing="0" w:line="480" w:lineRule="auto"/>
      </w:pPr>
      <w:r>
        <w:t xml:space="preserve">The dependent variable is county-level </w:t>
      </w:r>
      <w:r w:rsidRPr="00392719">
        <w:rPr>
          <w:color w:val="212529"/>
          <w:shd w:val="clear" w:color="auto" w:fill="FFFFFF"/>
        </w:rPr>
        <w:t>PM</w:t>
      </w:r>
      <w:r w:rsidRPr="00392719">
        <w:rPr>
          <w:color w:val="212529"/>
          <w:shd w:val="clear" w:color="auto" w:fill="FFFFFF"/>
          <w:vertAlign w:val="subscript"/>
        </w:rPr>
        <w:t>2.5</w:t>
      </w:r>
      <w:r>
        <w:rPr>
          <w:color w:val="212529"/>
          <w:shd w:val="clear" w:color="auto" w:fill="FFFFFF"/>
          <w:vertAlign w:val="subscript"/>
        </w:rPr>
        <w:t xml:space="preserve"> </w:t>
      </w:r>
      <w:r>
        <w:t>concentrations</w:t>
      </w:r>
      <w:r w:rsidR="00975970">
        <w:t xml:space="preserve"> in Texas</w:t>
      </w:r>
      <w:r w:rsidR="001665BB">
        <w:t xml:space="preserve"> in 2018</w:t>
      </w:r>
      <w:r>
        <w:t>.</w:t>
      </w:r>
      <w:r w:rsidR="00417620">
        <w:t xml:space="preserve"> The EPA calculated these estimates by averaging daily estimates of </w:t>
      </w:r>
      <w:r w:rsidR="00417620" w:rsidRPr="00392719">
        <w:rPr>
          <w:color w:val="212529"/>
          <w:shd w:val="clear" w:color="auto" w:fill="FFFFFF"/>
        </w:rPr>
        <w:t>PM</w:t>
      </w:r>
      <w:r w:rsidR="00417620" w:rsidRPr="00392719">
        <w:rPr>
          <w:color w:val="212529"/>
          <w:shd w:val="clear" w:color="auto" w:fill="FFFFFF"/>
          <w:vertAlign w:val="subscript"/>
        </w:rPr>
        <w:t>2.5</w:t>
      </w:r>
      <w:r w:rsidR="00417620">
        <w:rPr>
          <w:color w:val="212529"/>
          <w:shd w:val="clear" w:color="auto" w:fill="FFFFFF"/>
          <w:vertAlign w:val="subscript"/>
        </w:rPr>
        <w:t xml:space="preserve"> </w:t>
      </w:r>
      <w:r w:rsidR="00417620">
        <w:t xml:space="preserve">in every county in 2018. </w:t>
      </w:r>
      <w:r w:rsidR="00975970" w:rsidRPr="00392719">
        <w:rPr>
          <w:color w:val="212529"/>
          <w:shd w:val="clear" w:color="auto" w:fill="FFFFFF"/>
        </w:rPr>
        <w:t>PM</w:t>
      </w:r>
      <w:r w:rsidR="00975970" w:rsidRPr="00392719">
        <w:rPr>
          <w:color w:val="212529"/>
          <w:shd w:val="clear" w:color="auto" w:fill="FFFFFF"/>
          <w:vertAlign w:val="subscript"/>
        </w:rPr>
        <w:t>2.5</w:t>
      </w:r>
      <w:r w:rsidR="00417620">
        <w:t xml:space="preserve"> is measured as the number of micrograms of PM</w:t>
      </w:r>
      <w:r w:rsidR="00417620">
        <w:rPr>
          <w:vertAlign w:val="subscript"/>
        </w:rPr>
        <w:t>2.5</w:t>
      </w:r>
      <w:r w:rsidR="00417620">
        <w:t xml:space="preserve"> that are present per cubic meter of air</w:t>
      </w:r>
      <w:r w:rsidR="00AB083F">
        <w:t xml:space="preserve"> (µg/m</w:t>
      </w:r>
      <w:r w:rsidR="00AB083F" w:rsidRPr="006A2397">
        <w:rPr>
          <w:vertAlign w:val="superscript"/>
        </w:rPr>
        <w:t>3</w:t>
      </w:r>
      <w:r w:rsidR="00AB083F">
        <w:t>)</w:t>
      </w:r>
      <w:r w:rsidR="00417620">
        <w:t>.</w:t>
      </w:r>
      <w:r w:rsidR="00D85A11">
        <w:rPr>
          <w:rStyle w:val="FootnoteReference"/>
        </w:rPr>
        <w:footnoteReference w:id="6"/>
      </w:r>
    </w:p>
    <w:p w14:paraId="7D6C30B3" w14:textId="53E1E3B2" w:rsidR="00407754" w:rsidRDefault="00407754" w:rsidP="00C30943">
      <w:pPr>
        <w:pStyle w:val="NormalWeb"/>
        <w:spacing w:before="0" w:beforeAutospacing="0" w:after="0" w:afterAutospacing="0" w:line="480" w:lineRule="auto"/>
        <w:rPr>
          <w:b/>
          <w:bCs/>
          <w:i/>
          <w:iCs/>
        </w:rPr>
      </w:pPr>
      <w:r>
        <w:rPr>
          <w:b/>
          <w:bCs/>
          <w:i/>
          <w:iCs/>
        </w:rPr>
        <w:t>Independent Variables</w:t>
      </w:r>
    </w:p>
    <w:p w14:paraId="5E0E3EFA" w14:textId="0BF5D4C0" w:rsidR="00621E60" w:rsidRPr="0089684D" w:rsidRDefault="00463ACB" w:rsidP="00C30943">
      <w:pPr>
        <w:spacing w:line="480" w:lineRule="auto"/>
      </w:pPr>
      <w:r>
        <w:t>Three</w:t>
      </w:r>
      <w:r w:rsidR="00E269F4">
        <w:t xml:space="preserve"> independent variables are used to examine if concentrations of </w:t>
      </w:r>
      <w:r w:rsidR="00E269F4" w:rsidRPr="00392719">
        <w:rPr>
          <w:color w:val="212529"/>
          <w:shd w:val="clear" w:color="auto" w:fill="FFFFFF"/>
        </w:rPr>
        <w:t>PM</w:t>
      </w:r>
      <w:r w:rsidR="00E269F4" w:rsidRPr="00392719">
        <w:rPr>
          <w:color w:val="212529"/>
          <w:shd w:val="clear" w:color="auto" w:fill="FFFFFF"/>
          <w:vertAlign w:val="subscript"/>
        </w:rPr>
        <w:t>2.5</w:t>
      </w:r>
      <w:r w:rsidR="00E269F4">
        <w:t xml:space="preserve"> vary </w:t>
      </w:r>
      <w:r w:rsidR="00982A3D">
        <w:t>between</w:t>
      </w:r>
      <w:r w:rsidR="00E269F4">
        <w:t xml:space="preserve"> counties </w:t>
      </w:r>
      <w:r w:rsidR="00982A3D">
        <w:t xml:space="preserve">with and without </w:t>
      </w:r>
      <w:r w:rsidR="008E2401">
        <w:t>TDCJ facilities</w:t>
      </w:r>
      <w:r w:rsidR="00E269F4">
        <w:t xml:space="preserve">. </w:t>
      </w:r>
      <w:r w:rsidR="0089684D">
        <w:t>First,</w:t>
      </w:r>
      <w:r w:rsidR="00E269F4">
        <w:t xml:space="preserve"> </w:t>
      </w:r>
      <w:r w:rsidR="00982A3D">
        <w:t xml:space="preserve">a </w:t>
      </w:r>
      <w:r w:rsidR="0089684D">
        <w:t xml:space="preserve">binary </w:t>
      </w:r>
      <w:r w:rsidR="00982A3D">
        <w:t xml:space="preserve">variable that </w:t>
      </w:r>
      <w:r w:rsidR="0089684D">
        <w:t>indicat</w:t>
      </w:r>
      <w:r w:rsidR="00E269F4">
        <w:t>e</w:t>
      </w:r>
      <w:r w:rsidR="00982A3D">
        <w:t>s</w:t>
      </w:r>
      <w:r w:rsidR="0089684D">
        <w:t xml:space="preserve"> if a county has a </w:t>
      </w:r>
      <w:r w:rsidR="00ED494C">
        <w:t xml:space="preserve">TDCJ </w:t>
      </w:r>
      <w:r w:rsidR="0089684D">
        <w:t>facility (0 = no, 1 = yes)</w:t>
      </w:r>
      <w:r w:rsidR="00E269F4">
        <w:t>.</w:t>
      </w:r>
      <w:r w:rsidR="0089684D">
        <w:t xml:space="preserve"> </w:t>
      </w:r>
      <w:r w:rsidR="00621E60">
        <w:t xml:space="preserve">In total, there are </w:t>
      </w:r>
      <w:r w:rsidR="00BF6057">
        <w:t>100</w:t>
      </w:r>
      <w:r w:rsidR="00621E60">
        <w:t xml:space="preserve"> </w:t>
      </w:r>
      <w:r w:rsidR="008E2401">
        <w:t xml:space="preserve">TDCJ </w:t>
      </w:r>
      <w:r w:rsidR="00621E60">
        <w:t>facilities in 58 counties.</w:t>
      </w:r>
      <w:r w:rsidR="00A84B6D">
        <w:t xml:space="preserve"> </w:t>
      </w:r>
      <w:r w:rsidR="00621E60">
        <w:t xml:space="preserve">These facilities include prisons (n = 65), </w:t>
      </w:r>
      <w:r w:rsidR="00454B08">
        <w:t xml:space="preserve">state </w:t>
      </w:r>
      <w:r w:rsidR="00621E60">
        <w:t xml:space="preserve">jails (n = 16), pre-release facilities (n = 4), Substance Abuse Felony Punishment (SAFPH) facilities (n = 4), psychiatric facilities (n = 3), medical facilities (n = 2), </w:t>
      </w:r>
      <w:r w:rsidR="00BF6057">
        <w:t xml:space="preserve">Intermediate Sanction Facilities (n = 2), </w:t>
      </w:r>
      <w:r w:rsidR="00621E60">
        <w:t xml:space="preserve">multi-purpose facilities (n = 2), </w:t>
      </w:r>
      <w:r w:rsidR="00621E60" w:rsidRPr="001C6CE0">
        <w:rPr>
          <w:color w:val="000000" w:themeColor="text1"/>
        </w:rPr>
        <w:t xml:space="preserve">Developmental Disabilities Program (DDP) facilities (n = 1), </w:t>
      </w:r>
      <w:r w:rsidR="00BF6057" w:rsidRPr="001C6CE0">
        <w:rPr>
          <w:color w:val="000000" w:themeColor="text1"/>
        </w:rPr>
        <w:t xml:space="preserve">and </w:t>
      </w:r>
      <w:r w:rsidR="00621E60" w:rsidRPr="001C6CE0">
        <w:rPr>
          <w:color w:val="000000" w:themeColor="text1"/>
        </w:rPr>
        <w:t>geriatric facilities (n = 1)</w:t>
      </w:r>
      <w:r w:rsidR="00BF6057" w:rsidRPr="001C6CE0">
        <w:rPr>
          <w:color w:val="000000" w:themeColor="text1"/>
        </w:rPr>
        <w:t xml:space="preserve">. </w:t>
      </w:r>
      <w:r w:rsidR="00A62CA5" w:rsidRPr="001C6CE0">
        <w:rPr>
          <w:color w:val="000000" w:themeColor="text1"/>
        </w:rPr>
        <w:t xml:space="preserve">One concern with including </w:t>
      </w:r>
      <w:r w:rsidR="00C95372" w:rsidRPr="001C6CE0">
        <w:rPr>
          <w:color w:val="000000" w:themeColor="text1"/>
        </w:rPr>
        <w:t>all</w:t>
      </w:r>
      <w:r w:rsidR="00A62CA5" w:rsidRPr="001C6CE0">
        <w:rPr>
          <w:color w:val="000000" w:themeColor="text1"/>
        </w:rPr>
        <w:t xml:space="preserve"> these types of facilities in the analysis is that facilities that are not designated as </w:t>
      </w:r>
      <w:r w:rsidR="00A62CA5" w:rsidRPr="00205026">
        <w:rPr>
          <w:i/>
          <w:iCs/>
          <w:color w:val="000000" w:themeColor="text1"/>
        </w:rPr>
        <w:t>prisons</w:t>
      </w:r>
      <w:r w:rsidR="00A62CA5" w:rsidRPr="001C6CE0">
        <w:rPr>
          <w:color w:val="000000" w:themeColor="text1"/>
        </w:rPr>
        <w:t xml:space="preserve"> - which likely house </w:t>
      </w:r>
      <w:r w:rsidR="00C45769">
        <w:rPr>
          <w:color w:val="000000" w:themeColor="text1"/>
        </w:rPr>
        <w:t>individuals</w:t>
      </w:r>
      <w:r w:rsidR="00A62CA5" w:rsidRPr="001C6CE0">
        <w:rPr>
          <w:color w:val="000000" w:themeColor="text1"/>
        </w:rPr>
        <w:t xml:space="preserve"> who have special needs </w:t>
      </w:r>
      <w:r w:rsidR="00205026">
        <w:rPr>
          <w:color w:val="000000" w:themeColor="text1"/>
        </w:rPr>
        <w:t xml:space="preserve">such as severe physical or mental health concerns, </w:t>
      </w:r>
      <w:r w:rsidR="00A62CA5" w:rsidRPr="001C6CE0">
        <w:rPr>
          <w:color w:val="000000" w:themeColor="text1"/>
        </w:rPr>
        <w:t>and therefore are not representative of all</w:t>
      </w:r>
      <w:r w:rsidR="00C45769">
        <w:rPr>
          <w:color w:val="000000" w:themeColor="text1"/>
        </w:rPr>
        <w:t xml:space="preserve"> incarcerated people in</w:t>
      </w:r>
      <w:r w:rsidR="00A62CA5" w:rsidRPr="001C6CE0">
        <w:rPr>
          <w:color w:val="000000" w:themeColor="text1"/>
        </w:rPr>
        <w:t xml:space="preserve"> Texas - might be purposely </w:t>
      </w:r>
      <w:r w:rsidR="00810F06" w:rsidRPr="001C6CE0">
        <w:rPr>
          <w:color w:val="000000" w:themeColor="text1"/>
        </w:rPr>
        <w:t>built-in</w:t>
      </w:r>
      <w:r w:rsidR="00A62CA5" w:rsidRPr="001C6CE0">
        <w:rPr>
          <w:color w:val="000000" w:themeColor="text1"/>
        </w:rPr>
        <w:t xml:space="preserve"> counties with specific physical or environmental features</w:t>
      </w:r>
      <w:r w:rsidR="00D54BDD">
        <w:rPr>
          <w:color w:val="000000" w:themeColor="text1"/>
        </w:rPr>
        <w:t xml:space="preserve"> such as social service agencies or green spaces to promote health and wellbeing</w:t>
      </w:r>
      <w:r w:rsidR="00A62CA5" w:rsidRPr="001C6CE0">
        <w:rPr>
          <w:color w:val="000000" w:themeColor="text1"/>
        </w:rPr>
        <w:t xml:space="preserve">. </w:t>
      </w:r>
      <w:r w:rsidR="00920655" w:rsidRPr="001C6CE0">
        <w:rPr>
          <w:color w:val="000000" w:themeColor="text1"/>
        </w:rPr>
        <w:t>As such</w:t>
      </w:r>
      <w:r w:rsidR="00A62CA5" w:rsidRPr="001C6CE0">
        <w:rPr>
          <w:color w:val="000000" w:themeColor="text1"/>
        </w:rPr>
        <w:t xml:space="preserve">, </w:t>
      </w:r>
      <w:r w:rsidR="00810F06" w:rsidRPr="00392719">
        <w:rPr>
          <w:color w:val="212529"/>
          <w:shd w:val="clear" w:color="auto" w:fill="FFFFFF"/>
        </w:rPr>
        <w:t>PM</w:t>
      </w:r>
      <w:r w:rsidR="00810F06" w:rsidRPr="00392719">
        <w:rPr>
          <w:color w:val="212529"/>
          <w:shd w:val="clear" w:color="auto" w:fill="FFFFFF"/>
          <w:vertAlign w:val="subscript"/>
        </w:rPr>
        <w:t>2.5</w:t>
      </w:r>
      <w:r w:rsidR="00A62CA5" w:rsidRPr="001C6CE0">
        <w:rPr>
          <w:color w:val="000000" w:themeColor="text1"/>
        </w:rPr>
        <w:t xml:space="preserve"> levels might differ in counties with prisons compared to </w:t>
      </w:r>
      <w:r w:rsidR="00205026">
        <w:rPr>
          <w:color w:val="000000" w:themeColor="text1"/>
        </w:rPr>
        <w:t>those</w:t>
      </w:r>
      <w:r w:rsidR="00A62CA5" w:rsidRPr="001C6CE0">
        <w:rPr>
          <w:color w:val="000000" w:themeColor="text1"/>
        </w:rPr>
        <w:t xml:space="preserve"> counties with special, non-prison facilities. </w:t>
      </w:r>
      <w:r w:rsidR="00920655" w:rsidRPr="001C6CE0">
        <w:rPr>
          <w:color w:val="000000" w:themeColor="text1"/>
        </w:rPr>
        <w:t xml:space="preserve">Therefore, </w:t>
      </w:r>
      <w:r w:rsidR="00205026">
        <w:rPr>
          <w:color w:val="000000" w:themeColor="text1"/>
        </w:rPr>
        <w:t xml:space="preserve">we designated </w:t>
      </w:r>
      <w:r w:rsidR="00920655" w:rsidRPr="001C6CE0">
        <w:rPr>
          <w:color w:val="000000" w:themeColor="text1"/>
        </w:rPr>
        <w:t xml:space="preserve">two additional independent variables: (1) a binary variable that indicates if a county has a </w:t>
      </w:r>
      <w:r w:rsidR="00810F06">
        <w:rPr>
          <w:color w:val="000000" w:themeColor="text1"/>
        </w:rPr>
        <w:t xml:space="preserve">TDCJ </w:t>
      </w:r>
      <w:r w:rsidR="00920655" w:rsidRPr="001C6CE0">
        <w:rPr>
          <w:color w:val="000000" w:themeColor="text1"/>
        </w:rPr>
        <w:t>prison (0 = no, 1 = yes)</w:t>
      </w:r>
      <w:r w:rsidR="00205026">
        <w:rPr>
          <w:color w:val="000000" w:themeColor="text1"/>
        </w:rPr>
        <w:t>,</w:t>
      </w:r>
      <w:r w:rsidR="00920655" w:rsidRPr="001C6CE0">
        <w:rPr>
          <w:color w:val="000000" w:themeColor="text1"/>
        </w:rPr>
        <w:t xml:space="preserve"> and (2) a binary variable that indicates if a county has a non-prison </w:t>
      </w:r>
      <w:r w:rsidR="00810F06">
        <w:rPr>
          <w:color w:val="000000" w:themeColor="text1"/>
        </w:rPr>
        <w:t xml:space="preserve">TDCJ </w:t>
      </w:r>
      <w:r w:rsidR="00920655" w:rsidRPr="001C6CE0">
        <w:rPr>
          <w:color w:val="000000" w:themeColor="text1"/>
        </w:rPr>
        <w:t>facility (0 = no, 1 = yes).</w:t>
      </w:r>
      <w:r w:rsidR="00396E64">
        <w:rPr>
          <w:rStyle w:val="FootnoteReference"/>
          <w:color w:val="000000" w:themeColor="text1"/>
        </w:rPr>
        <w:footnoteReference w:id="7"/>
      </w:r>
      <w:r w:rsidR="00920655" w:rsidRPr="001C6CE0">
        <w:rPr>
          <w:color w:val="000000" w:themeColor="text1"/>
        </w:rPr>
        <w:t xml:space="preserve"> Regardless of the type of </w:t>
      </w:r>
      <w:r w:rsidR="00920655" w:rsidRPr="001C6CE0">
        <w:rPr>
          <w:color w:val="000000" w:themeColor="text1"/>
        </w:rPr>
        <w:lastRenderedPageBreak/>
        <w:t xml:space="preserve">facility a person is housed in, each </w:t>
      </w:r>
      <w:r w:rsidR="00CF261F">
        <w:t xml:space="preserve">person must be convicted of a crime and sentenced to incarceration before being placed in any TDCJ facility. </w:t>
      </w:r>
      <w:r w:rsidR="00B768E6">
        <w:t>One hundred ninety-six counties have zero TDCJ facilities, 3</w:t>
      </w:r>
      <w:r w:rsidR="00F96A63">
        <w:t>6</w:t>
      </w:r>
      <w:r w:rsidR="00B768E6">
        <w:t xml:space="preserve"> have one facility, 1</w:t>
      </w:r>
      <w:r w:rsidR="00F96A63">
        <w:t>4</w:t>
      </w:r>
      <w:r w:rsidR="00B768E6">
        <w:t xml:space="preserve"> have two facilities, three have three facilities, two have four facilities, one has five facilities, one has six facilities, and one has seven facilities.</w:t>
      </w:r>
      <w:r w:rsidR="00BE4231">
        <w:t xml:space="preserve"> </w:t>
      </w:r>
    </w:p>
    <w:p w14:paraId="13F68627" w14:textId="086C23FD" w:rsidR="00305281" w:rsidRDefault="00407754" w:rsidP="00305281">
      <w:pPr>
        <w:pStyle w:val="NormalWeb"/>
        <w:spacing w:before="0" w:beforeAutospacing="0" w:after="0" w:afterAutospacing="0" w:line="480" w:lineRule="auto"/>
        <w:rPr>
          <w:b/>
          <w:bCs/>
          <w:i/>
          <w:iCs/>
        </w:rPr>
      </w:pPr>
      <w:r>
        <w:rPr>
          <w:b/>
          <w:bCs/>
          <w:i/>
          <w:iCs/>
        </w:rPr>
        <w:t>Control Variables</w:t>
      </w:r>
    </w:p>
    <w:p w14:paraId="608FEA6F" w14:textId="7E9CC9E4" w:rsidR="000E5B36" w:rsidRPr="004034FD" w:rsidRDefault="007E5942" w:rsidP="00305281">
      <w:pPr>
        <w:pStyle w:val="NormalWeb"/>
        <w:spacing w:before="0" w:beforeAutospacing="0" w:after="0" w:afterAutospacing="0" w:line="480" w:lineRule="auto"/>
        <w:rPr>
          <w:b/>
          <w:bCs/>
          <w:i/>
          <w:iCs/>
          <w:color w:val="FF0000"/>
        </w:rPr>
      </w:pPr>
      <w:r>
        <w:t>Six</w:t>
      </w:r>
      <w:r w:rsidR="005C039C">
        <w:t xml:space="preserve"> demographic</w:t>
      </w:r>
      <w:r w:rsidR="00AE662A">
        <w:t xml:space="preserve"> variables recognized as important correlates of </w:t>
      </w:r>
      <w:r w:rsidR="00AE662A" w:rsidRPr="00392719">
        <w:rPr>
          <w:color w:val="212529"/>
          <w:shd w:val="clear" w:color="auto" w:fill="FFFFFF"/>
        </w:rPr>
        <w:t>PM</w:t>
      </w:r>
      <w:r w:rsidR="00AE662A" w:rsidRPr="00392719">
        <w:rPr>
          <w:color w:val="212529"/>
          <w:shd w:val="clear" w:color="auto" w:fill="FFFFFF"/>
          <w:vertAlign w:val="subscript"/>
        </w:rPr>
        <w:t>2.5</w:t>
      </w:r>
      <w:r w:rsidR="00AE662A">
        <w:t xml:space="preserve"> in past studies are included as controls (</w:t>
      </w:r>
      <w:r w:rsidR="004B178D">
        <w:t>Colmer et al., 2020</w:t>
      </w:r>
      <w:r w:rsidR="00AE662A">
        <w:t xml:space="preserve">). </w:t>
      </w:r>
      <w:r w:rsidR="0011066F">
        <w:t>Five</w:t>
      </w:r>
      <w:r w:rsidR="00AE662A">
        <w:t xml:space="preserve"> </w:t>
      </w:r>
      <w:r w:rsidR="00C02B00">
        <w:t xml:space="preserve">of these </w:t>
      </w:r>
      <w:r w:rsidR="00AE662A">
        <w:t xml:space="preserve">county-level measures were taken from the </w:t>
      </w:r>
      <w:r w:rsidR="00CB666D">
        <w:t>2015-</w:t>
      </w:r>
      <w:r w:rsidR="00AE662A">
        <w:t xml:space="preserve">2019 </w:t>
      </w:r>
      <w:r w:rsidR="00CB666D">
        <w:t xml:space="preserve">5-year </w:t>
      </w:r>
      <w:r w:rsidR="00AE662A">
        <w:t xml:space="preserve">ACS and include a </w:t>
      </w:r>
      <w:r w:rsidR="0011066F">
        <w:t xml:space="preserve">measure of land area of each county (in square miles), a measure of </w:t>
      </w:r>
      <w:r w:rsidR="008F610C">
        <w:t xml:space="preserve">the percentage of </w:t>
      </w:r>
      <w:r w:rsidR="00685C94">
        <w:t xml:space="preserve">employed </w:t>
      </w:r>
      <w:r w:rsidR="0011066F">
        <w:t xml:space="preserve">people </w:t>
      </w:r>
      <w:r w:rsidR="00685C94">
        <w:t xml:space="preserve">working </w:t>
      </w:r>
      <w:r w:rsidR="0011066F">
        <w:t xml:space="preserve">industry jobs (which is the sum of the percentage of </w:t>
      </w:r>
      <w:r>
        <w:t>employed</w:t>
      </w:r>
      <w:r w:rsidR="0011066F">
        <w:t xml:space="preserve"> people </w:t>
      </w:r>
      <w:r w:rsidR="008F610C">
        <w:t xml:space="preserve">working </w:t>
      </w:r>
      <w:r w:rsidR="0011066F">
        <w:t xml:space="preserve">in construction, manufacturing, </w:t>
      </w:r>
      <w:r w:rsidR="00FA18E4">
        <w:t xml:space="preserve">agriculture, forestry, fishing, hunting, and mining), a </w:t>
      </w:r>
      <w:r w:rsidR="00AE662A">
        <w:t>continuous measure of median household income (in</w:t>
      </w:r>
      <w:r w:rsidR="002B45C4">
        <w:t xml:space="preserve"> thousands of</w:t>
      </w:r>
      <w:r w:rsidR="00AE662A">
        <w:t xml:space="preserve"> dollars), population density, which is defined as the number of </w:t>
      </w:r>
      <w:r w:rsidR="00F26D50">
        <w:t>thousand</w:t>
      </w:r>
      <w:r w:rsidR="002B45C4">
        <w:t xml:space="preserve"> </w:t>
      </w:r>
      <w:r w:rsidR="00AE662A">
        <w:t>residents per square mile</w:t>
      </w:r>
      <w:r w:rsidR="00F26D50">
        <w:t xml:space="preserve"> (which we converted to hundred because most counties have far less than a thousand residents per square mile)</w:t>
      </w:r>
      <w:r w:rsidR="005404BD">
        <w:t>,</w:t>
      </w:r>
      <w:r w:rsidR="00D54BDD" w:rsidRPr="00D54BDD">
        <w:rPr>
          <w:rStyle w:val="FootnoteReference"/>
        </w:rPr>
        <w:t xml:space="preserve"> </w:t>
      </w:r>
      <w:r w:rsidR="00D54BDD">
        <w:rPr>
          <w:rStyle w:val="FootnoteReference"/>
        </w:rPr>
        <w:footnoteReference w:id="8"/>
      </w:r>
      <w:r w:rsidR="005404BD">
        <w:t xml:space="preserve"> </w:t>
      </w:r>
      <w:r w:rsidR="005C039C">
        <w:t>and the racial makeup of residents</w:t>
      </w:r>
      <w:r w:rsidR="00CB666D">
        <w:t xml:space="preserve"> which is defined as the percentage of </w:t>
      </w:r>
      <w:r w:rsidR="00C107C5">
        <w:t xml:space="preserve">non-Hispanic </w:t>
      </w:r>
      <w:r w:rsidR="00FA7CB3">
        <w:t>W</w:t>
      </w:r>
      <w:r w:rsidR="00CB666D">
        <w:t>hite residents</w:t>
      </w:r>
      <w:r w:rsidR="005C039C">
        <w:t>.</w:t>
      </w:r>
      <w:r w:rsidR="00AE662A">
        <w:t xml:space="preserve"> </w:t>
      </w:r>
      <w:r w:rsidR="00C02B00">
        <w:t xml:space="preserve">We also estimated the </w:t>
      </w:r>
      <w:r w:rsidR="005B2E1F">
        <w:t xml:space="preserve">maximum </w:t>
      </w:r>
      <w:r w:rsidR="00C02B00">
        <w:t xml:space="preserve">percent of each county’s population that is </w:t>
      </w:r>
      <w:r w:rsidR="00D54BDD">
        <w:t>comprised</w:t>
      </w:r>
      <w:r w:rsidR="00C02B00">
        <w:t xml:space="preserve"> of </w:t>
      </w:r>
      <w:r w:rsidR="00807939">
        <w:t>incarcerated individuals</w:t>
      </w:r>
      <w:r w:rsidR="003B1DDB">
        <w:t>.</w:t>
      </w:r>
      <w:r w:rsidR="005B2E1F">
        <w:t xml:space="preserve"> We did this by getting the capacity of each TDCJ facility, aggregating those numbers </w:t>
      </w:r>
      <w:r w:rsidR="00D54BDD">
        <w:t>to the</w:t>
      </w:r>
      <w:r w:rsidR="005B2E1F">
        <w:t xml:space="preserve"> </w:t>
      </w:r>
      <w:r w:rsidR="00C45769">
        <w:t>county level,</w:t>
      </w:r>
      <w:r w:rsidR="005B2E1F">
        <w:t xml:space="preserve"> and dividing the county capacities by each county’s total population. We decided to use total county prison capacity rather than </w:t>
      </w:r>
      <w:r w:rsidR="00870FA1">
        <w:t xml:space="preserve">the </w:t>
      </w:r>
      <w:r w:rsidR="005B2E1F">
        <w:t xml:space="preserve">population </w:t>
      </w:r>
      <w:r w:rsidR="00870FA1">
        <w:t xml:space="preserve">of incarcerated individuals </w:t>
      </w:r>
      <w:r w:rsidR="005B2E1F">
        <w:t xml:space="preserve">because current data </w:t>
      </w:r>
      <w:r w:rsidR="00D54BDD">
        <w:t>are</w:t>
      </w:r>
      <w:r w:rsidR="005B2E1F">
        <w:t xml:space="preserve"> from post-COVID-19 times while </w:t>
      </w:r>
      <w:r w:rsidR="005B2E1F" w:rsidRPr="00A26235">
        <w:t>PM</w:t>
      </w:r>
      <w:r w:rsidR="005B2E1F" w:rsidRPr="00A26235">
        <w:rPr>
          <w:vertAlign w:val="subscript"/>
        </w:rPr>
        <w:t>2.5</w:t>
      </w:r>
      <w:r w:rsidR="005B2E1F">
        <w:t xml:space="preserve"> data </w:t>
      </w:r>
      <w:r w:rsidR="00D54BDD">
        <w:t>are</w:t>
      </w:r>
      <w:r w:rsidR="005B2E1F">
        <w:t xml:space="preserve"> from pre-COVID-19 and the pandemic has affected</w:t>
      </w:r>
      <w:r w:rsidR="00D54968">
        <w:t>, and specifically reduced,</w:t>
      </w:r>
      <w:r w:rsidR="005B2E1F">
        <w:t xml:space="preserve"> the number of people in prisons </w:t>
      </w:r>
      <w:r w:rsidR="005B2E1F" w:rsidRPr="00D54968">
        <w:rPr>
          <w:color w:val="000000" w:themeColor="text1"/>
        </w:rPr>
        <w:t>(</w:t>
      </w:r>
      <w:proofErr w:type="spellStart"/>
      <w:r w:rsidR="00D54968" w:rsidRPr="00D54968">
        <w:rPr>
          <w:color w:val="000000" w:themeColor="text1"/>
          <w:shd w:val="clear" w:color="auto" w:fill="FFFFFF"/>
        </w:rPr>
        <w:t>Lofaro</w:t>
      </w:r>
      <w:proofErr w:type="spellEnd"/>
      <w:r w:rsidR="00D54968" w:rsidRPr="00D54968">
        <w:rPr>
          <w:color w:val="000000" w:themeColor="text1"/>
          <w:shd w:val="clear" w:color="auto" w:fill="FFFFFF"/>
        </w:rPr>
        <w:t xml:space="preserve"> &amp; McCue, 2020</w:t>
      </w:r>
      <w:r w:rsidR="005B2E1F" w:rsidRPr="00D54968">
        <w:rPr>
          <w:color w:val="000000" w:themeColor="text1"/>
        </w:rPr>
        <w:t xml:space="preserve">). </w:t>
      </w:r>
    </w:p>
    <w:p w14:paraId="2E5C4A88" w14:textId="42C1FEB0" w:rsidR="00407754" w:rsidRDefault="00407754" w:rsidP="00C30943">
      <w:pPr>
        <w:pStyle w:val="NormalWeb"/>
        <w:spacing w:before="0" w:beforeAutospacing="0" w:after="0" w:afterAutospacing="0" w:line="480" w:lineRule="auto"/>
        <w:rPr>
          <w:b/>
          <w:bCs/>
          <w:i/>
          <w:iCs/>
        </w:rPr>
      </w:pPr>
      <w:r w:rsidRPr="00407754">
        <w:rPr>
          <w:b/>
          <w:bCs/>
          <w:i/>
          <w:iCs/>
        </w:rPr>
        <w:t xml:space="preserve">Plan of </w:t>
      </w:r>
      <w:r w:rsidR="0062111E">
        <w:rPr>
          <w:b/>
          <w:bCs/>
          <w:i/>
          <w:iCs/>
        </w:rPr>
        <w:t>A</w:t>
      </w:r>
      <w:r w:rsidRPr="00407754">
        <w:rPr>
          <w:b/>
          <w:bCs/>
          <w:i/>
          <w:iCs/>
        </w:rPr>
        <w:t>nalysis</w:t>
      </w:r>
    </w:p>
    <w:p w14:paraId="5A3BE795" w14:textId="7A70A000" w:rsidR="00A955E3" w:rsidRDefault="00C74437" w:rsidP="00C30943">
      <w:pPr>
        <w:pStyle w:val="NormalWeb"/>
        <w:spacing w:before="0" w:beforeAutospacing="0" w:after="0" w:afterAutospacing="0" w:line="480" w:lineRule="auto"/>
        <w:rPr>
          <w:color w:val="000000" w:themeColor="text1"/>
        </w:rPr>
      </w:pPr>
      <w:r>
        <w:lastRenderedPageBreak/>
        <w:t xml:space="preserve">To </w:t>
      </w:r>
      <w:r w:rsidR="00807BE9">
        <w:t xml:space="preserve">examine </w:t>
      </w:r>
      <w:r w:rsidR="00794528">
        <w:t>whether</w:t>
      </w:r>
      <w:r>
        <w:t xml:space="preserve"> counties with TDCJ facilities</w:t>
      </w:r>
      <w:r w:rsidR="001C6CE0">
        <w:t xml:space="preserve">, prisons, and non-prison facilities </w:t>
      </w:r>
      <w:r>
        <w:t xml:space="preserve">have higher </w:t>
      </w:r>
      <w:r w:rsidRPr="00A26235">
        <w:t>PM</w:t>
      </w:r>
      <w:r w:rsidRPr="00A26235">
        <w:rPr>
          <w:vertAlign w:val="subscript"/>
        </w:rPr>
        <w:t>2.5</w:t>
      </w:r>
      <w:r>
        <w:t xml:space="preserve"> values than counties without </w:t>
      </w:r>
      <w:r w:rsidR="00C95372">
        <w:t xml:space="preserve">these respective </w:t>
      </w:r>
      <w:r>
        <w:t xml:space="preserve">TDCJ facilities, </w:t>
      </w:r>
      <w:r w:rsidR="00794528">
        <w:t xml:space="preserve">we </w:t>
      </w:r>
      <w:r w:rsidR="00C76E8F">
        <w:t xml:space="preserve">run </w:t>
      </w:r>
      <w:r w:rsidR="001C6CE0">
        <w:t>three</w:t>
      </w:r>
      <w:r w:rsidR="00CC4330">
        <w:t xml:space="preserve"> </w:t>
      </w:r>
      <w:r w:rsidR="00090231">
        <w:t>OLS</w:t>
      </w:r>
      <w:r w:rsidR="00CC4330">
        <w:t xml:space="preserve"> regression models </w:t>
      </w:r>
      <w:r w:rsidR="00E0421A">
        <w:t xml:space="preserve">to examine if the presence of </w:t>
      </w:r>
      <w:r w:rsidR="001C6CE0">
        <w:t xml:space="preserve">one or more </w:t>
      </w:r>
      <w:r w:rsidR="00E0421A">
        <w:t>TDCJ facilit</w:t>
      </w:r>
      <w:r w:rsidR="001C6CE0">
        <w:t>ies</w:t>
      </w:r>
      <w:r w:rsidR="00E0421A">
        <w:t xml:space="preserve"> in a county is associated with </w:t>
      </w:r>
      <w:r w:rsidR="00E0421A" w:rsidRPr="00A26235">
        <w:t>PM</w:t>
      </w:r>
      <w:r w:rsidR="00E0421A" w:rsidRPr="00A26235">
        <w:rPr>
          <w:vertAlign w:val="subscript"/>
        </w:rPr>
        <w:t>2.5</w:t>
      </w:r>
      <w:r w:rsidR="00E0421A">
        <w:t>, controlling</w:t>
      </w:r>
      <w:r w:rsidR="00CC4330">
        <w:t xml:space="preserve"> for </w:t>
      </w:r>
      <w:r w:rsidR="008F610C">
        <w:t xml:space="preserve">county land area, the percentage of people employed in industry jobs, </w:t>
      </w:r>
      <w:r w:rsidR="00CC4330">
        <w:t xml:space="preserve">median household income, population density, </w:t>
      </w:r>
      <w:r w:rsidR="000C3998">
        <w:t xml:space="preserve">percent of the county population that is people in prison, </w:t>
      </w:r>
      <w:r w:rsidR="00CC4330">
        <w:t xml:space="preserve">and the percentage of non-Hispanic </w:t>
      </w:r>
      <w:r w:rsidR="00572E3B">
        <w:t>W</w:t>
      </w:r>
      <w:r w:rsidR="00CC4330">
        <w:t>hite residents. For the first model</w:t>
      </w:r>
      <w:r w:rsidR="001A1F57">
        <w:t>,</w:t>
      </w:r>
      <w:r w:rsidR="00ED494C">
        <w:t xml:space="preserve"> the primary independent variable is the binary variable that indicates if a county has a TDCJ facilit</w:t>
      </w:r>
      <w:r w:rsidR="00ED494C" w:rsidRPr="00ED494C">
        <w:t>y</w:t>
      </w:r>
      <w:r w:rsidR="00CC4330" w:rsidRPr="00ED494C">
        <w:t>. For the second mode</w:t>
      </w:r>
      <w:r w:rsidR="00ED494C" w:rsidRPr="00ED494C">
        <w:t xml:space="preserve">l, the primary independent variable is </w:t>
      </w:r>
      <w:r w:rsidR="001C6CE0">
        <w:t xml:space="preserve">the binary variable that indicates if a county has a </w:t>
      </w:r>
      <w:r w:rsidR="00810F06">
        <w:t xml:space="preserve">TDCJ </w:t>
      </w:r>
      <w:r w:rsidR="001C6CE0">
        <w:t>prison</w:t>
      </w:r>
      <w:r w:rsidR="00ED494C">
        <w:t xml:space="preserve">. </w:t>
      </w:r>
      <w:r w:rsidR="001C6CE0" w:rsidRPr="00ED494C">
        <w:t xml:space="preserve">For the </w:t>
      </w:r>
      <w:r w:rsidR="001C6CE0">
        <w:t>third</w:t>
      </w:r>
      <w:r w:rsidR="001C6CE0" w:rsidRPr="00ED494C">
        <w:t xml:space="preserve"> model, the primary independent variable is </w:t>
      </w:r>
      <w:r w:rsidR="001C6CE0">
        <w:t xml:space="preserve">the binary variable that indicates if a county has a non-prison </w:t>
      </w:r>
      <w:r w:rsidR="00810F06">
        <w:t xml:space="preserve">TDCJ </w:t>
      </w:r>
      <w:r w:rsidR="001C6CE0">
        <w:t xml:space="preserve">facility. </w:t>
      </w:r>
      <w:r w:rsidR="00E0421A" w:rsidRPr="00D600E8">
        <w:rPr>
          <w:color w:val="000000" w:themeColor="text1"/>
        </w:rPr>
        <w:t xml:space="preserve">For </w:t>
      </w:r>
      <w:r w:rsidR="00E0421A">
        <w:rPr>
          <w:color w:val="000000" w:themeColor="text1"/>
        </w:rPr>
        <w:t>OLS</w:t>
      </w:r>
      <w:r w:rsidR="00E0421A" w:rsidRPr="00D600E8">
        <w:rPr>
          <w:color w:val="000000" w:themeColor="text1"/>
        </w:rPr>
        <w:t xml:space="preserve"> regression, a positive coefficient means that </w:t>
      </w:r>
      <w:r w:rsidR="00E0421A">
        <w:rPr>
          <w:color w:val="000000" w:themeColor="text1"/>
        </w:rPr>
        <w:t>counties with one or more TDCJ facilities</w:t>
      </w:r>
      <w:r w:rsidR="001A1F57">
        <w:rPr>
          <w:color w:val="000000" w:themeColor="text1"/>
        </w:rPr>
        <w:t>, prisons, or non-prison facilities</w:t>
      </w:r>
      <w:r w:rsidR="00E0421A">
        <w:rPr>
          <w:color w:val="000000" w:themeColor="text1"/>
        </w:rPr>
        <w:t xml:space="preserve"> have higher levels of </w:t>
      </w:r>
      <w:r w:rsidR="00E0421A" w:rsidRPr="00A26235">
        <w:t>PM</w:t>
      </w:r>
      <w:r w:rsidR="00E0421A" w:rsidRPr="00A26235">
        <w:rPr>
          <w:vertAlign w:val="subscript"/>
        </w:rPr>
        <w:t>2.5</w:t>
      </w:r>
      <w:r w:rsidR="00E0421A">
        <w:rPr>
          <w:color w:val="000000" w:themeColor="text1"/>
        </w:rPr>
        <w:t xml:space="preserve"> relative</w:t>
      </w:r>
      <w:r w:rsidR="00E0421A" w:rsidRPr="00D600E8">
        <w:rPr>
          <w:color w:val="000000" w:themeColor="text1"/>
        </w:rPr>
        <w:t xml:space="preserve"> to</w:t>
      </w:r>
      <w:r w:rsidR="00E0421A">
        <w:rPr>
          <w:color w:val="000000" w:themeColor="text1"/>
        </w:rPr>
        <w:t xml:space="preserve"> counties with</w:t>
      </w:r>
      <w:r w:rsidR="001A1F57">
        <w:rPr>
          <w:color w:val="000000" w:themeColor="text1"/>
        </w:rPr>
        <w:t>out</w:t>
      </w:r>
      <w:r w:rsidR="00E0421A">
        <w:rPr>
          <w:color w:val="000000" w:themeColor="text1"/>
        </w:rPr>
        <w:t xml:space="preserve"> TDCJ facilities</w:t>
      </w:r>
      <w:r w:rsidR="001A1F57">
        <w:rPr>
          <w:color w:val="000000" w:themeColor="text1"/>
        </w:rPr>
        <w:t>, prisons, or non-prison facilities</w:t>
      </w:r>
      <w:r w:rsidR="00CC0075">
        <w:t>.</w:t>
      </w:r>
      <w:r w:rsidR="00A14113">
        <w:t xml:space="preserve"> </w:t>
      </w:r>
      <w:r w:rsidR="00A14113">
        <w:rPr>
          <w:color w:val="000000" w:themeColor="text1"/>
        </w:rPr>
        <w:t>All a</w:t>
      </w:r>
      <w:r w:rsidR="00A14113" w:rsidRPr="00D600E8">
        <w:rPr>
          <w:color w:val="000000" w:themeColor="text1"/>
        </w:rPr>
        <w:t>nalyses were conducted using robust standard errors to partially correct for clustering</w:t>
      </w:r>
      <w:r w:rsidR="00A955E3">
        <w:rPr>
          <w:color w:val="000000" w:themeColor="text1"/>
        </w:rPr>
        <w:t xml:space="preserve"> and </w:t>
      </w:r>
      <w:r w:rsidR="00A955E3" w:rsidRPr="00A955E3">
        <w:rPr>
          <w:color w:val="000000"/>
        </w:rPr>
        <w:t>heteroscedasticity</w:t>
      </w:r>
      <w:r w:rsidR="00A955E3">
        <w:rPr>
          <w:color w:val="000000"/>
        </w:rPr>
        <w:t xml:space="preserve"> (</w:t>
      </w:r>
      <w:proofErr w:type="spellStart"/>
      <w:r w:rsidR="00263698" w:rsidRPr="00263698">
        <w:rPr>
          <w:color w:val="222222"/>
          <w:shd w:val="clear" w:color="auto" w:fill="FFFFFF"/>
        </w:rPr>
        <w:t>Mansournia</w:t>
      </w:r>
      <w:proofErr w:type="spellEnd"/>
      <w:r w:rsidR="00263698">
        <w:rPr>
          <w:color w:val="222222"/>
          <w:shd w:val="clear" w:color="auto" w:fill="FFFFFF"/>
        </w:rPr>
        <w:t xml:space="preserve"> et al., 2021</w:t>
      </w:r>
      <w:r w:rsidR="00A955E3">
        <w:rPr>
          <w:color w:val="000000"/>
        </w:rPr>
        <w:t>)</w:t>
      </w:r>
      <w:r w:rsidR="00A955E3" w:rsidRPr="00A955E3">
        <w:rPr>
          <w:color w:val="000000"/>
        </w:rPr>
        <w:t>.</w:t>
      </w:r>
      <w:r w:rsidR="00A955E3">
        <w:rPr>
          <w:b/>
          <w:bCs/>
          <w:color w:val="000000"/>
        </w:rPr>
        <w:t xml:space="preserve"> </w:t>
      </w:r>
    </w:p>
    <w:p w14:paraId="2F46B248" w14:textId="7FB5899C" w:rsidR="00622DFA" w:rsidRDefault="00407754" w:rsidP="002A07B6">
      <w:pPr>
        <w:pStyle w:val="NormalWeb"/>
        <w:spacing w:before="0" w:beforeAutospacing="0" w:after="0" w:afterAutospacing="0" w:line="480" w:lineRule="auto"/>
        <w:rPr>
          <w:b/>
          <w:bCs/>
        </w:rPr>
      </w:pPr>
      <w:r>
        <w:rPr>
          <w:b/>
          <w:bCs/>
        </w:rPr>
        <w:t>Results</w:t>
      </w:r>
    </w:p>
    <w:p w14:paraId="726D2905" w14:textId="3A4D565F" w:rsidR="008841F4" w:rsidRPr="008841F4" w:rsidRDefault="008841F4" w:rsidP="00C30943">
      <w:pPr>
        <w:pStyle w:val="NormalWeb"/>
        <w:spacing w:before="0" w:beforeAutospacing="0" w:after="0" w:afterAutospacing="0" w:line="480" w:lineRule="auto"/>
      </w:pPr>
      <w:r w:rsidRPr="008841F4">
        <w:t xml:space="preserve">Figure 2 </w:t>
      </w:r>
      <w:r w:rsidR="00496A74">
        <w:t xml:space="preserve">is a choropleth </w:t>
      </w:r>
      <w:r>
        <w:t>map of Texas counties</w:t>
      </w:r>
      <w:r w:rsidR="00496A74">
        <w:t xml:space="preserve">. </w:t>
      </w:r>
      <w:r w:rsidR="006914FD">
        <w:t xml:space="preserve">Choropleth maps display statistical information about key variables over geographical regions and are helpful in identifying patterns that might be otherwise difficult to identify </w:t>
      </w:r>
      <w:r w:rsidR="000F69EF">
        <w:t>by looking at</w:t>
      </w:r>
      <w:r w:rsidR="006914FD">
        <w:t xml:space="preserve"> a table or list. </w:t>
      </w:r>
      <w:r w:rsidR="00496A74">
        <w:t xml:space="preserve">Counties shaded in a lighter color indicate lower levels of </w:t>
      </w:r>
      <w:r w:rsidR="00496A74" w:rsidRPr="00A26235">
        <w:t>PM</w:t>
      </w:r>
      <w:r w:rsidR="00496A74" w:rsidRPr="00A26235">
        <w:rPr>
          <w:vertAlign w:val="subscript"/>
        </w:rPr>
        <w:t>2.5</w:t>
      </w:r>
      <w:r w:rsidR="00496A74">
        <w:rPr>
          <w:vertAlign w:val="subscript"/>
        </w:rPr>
        <w:t xml:space="preserve"> </w:t>
      </w:r>
      <w:r w:rsidR="00496A74">
        <w:t xml:space="preserve">while counties shaded in a darker color indicate higher levels of </w:t>
      </w:r>
      <w:r w:rsidR="00496A74" w:rsidRPr="00A26235">
        <w:t>PM</w:t>
      </w:r>
      <w:r w:rsidR="00496A74" w:rsidRPr="00A26235">
        <w:rPr>
          <w:vertAlign w:val="subscript"/>
        </w:rPr>
        <w:t>2.</w:t>
      </w:r>
      <w:r w:rsidR="00496A74" w:rsidRPr="00496A74">
        <w:t>5</w:t>
      </w:r>
      <w:r w:rsidR="00496A74">
        <w:t xml:space="preserve">. </w:t>
      </w:r>
      <w:r w:rsidR="002B3BAD">
        <w:t xml:space="preserve">Counties with </w:t>
      </w:r>
      <w:r w:rsidR="000040A8">
        <w:t>b</w:t>
      </w:r>
      <w:r w:rsidR="002B3BAD">
        <w:t xml:space="preserve">lack dots placed on </w:t>
      </w:r>
      <w:r w:rsidR="00410FC2">
        <w:t>them contain</w:t>
      </w:r>
      <w:r w:rsidR="002B3BAD">
        <w:t xml:space="preserve"> at least one TDCJ facility. </w:t>
      </w:r>
      <w:r w:rsidR="00496A74">
        <w:t xml:space="preserve">In general, counties with at least one TDCJ facility tend to have higher levels of </w:t>
      </w:r>
      <w:r w:rsidR="00496A74" w:rsidRPr="00A26235">
        <w:t>PM</w:t>
      </w:r>
      <w:r w:rsidR="00496A74" w:rsidRPr="00A26235">
        <w:rPr>
          <w:vertAlign w:val="subscript"/>
        </w:rPr>
        <w:t>2.5</w:t>
      </w:r>
      <w:r w:rsidR="00496A74">
        <w:rPr>
          <w:vertAlign w:val="subscript"/>
        </w:rPr>
        <w:t xml:space="preserve"> </w:t>
      </w:r>
      <w:r w:rsidR="00496A74">
        <w:t xml:space="preserve">than counties without any TDCJ facilities. </w:t>
      </w:r>
    </w:p>
    <w:p w14:paraId="4D8776FC" w14:textId="32FD40BA" w:rsidR="00EA0ECB" w:rsidRPr="003C6089" w:rsidRDefault="00EA0ECB" w:rsidP="00C30943">
      <w:pPr>
        <w:spacing w:line="480" w:lineRule="auto"/>
        <w:ind w:left="14" w:hanging="14"/>
        <w:jc w:val="center"/>
        <w:rPr>
          <w:bCs/>
          <w:color w:val="000000" w:themeColor="text1"/>
        </w:rPr>
      </w:pPr>
      <w:r w:rsidRPr="00D600E8">
        <w:rPr>
          <w:bCs/>
          <w:color w:val="000000" w:themeColor="text1"/>
        </w:rPr>
        <w:t xml:space="preserve">***Insert </w:t>
      </w:r>
      <w:r>
        <w:rPr>
          <w:bCs/>
          <w:color w:val="000000" w:themeColor="text1"/>
        </w:rPr>
        <w:t>Figure</w:t>
      </w:r>
      <w:r w:rsidRPr="00D600E8">
        <w:rPr>
          <w:bCs/>
          <w:color w:val="000000" w:themeColor="text1"/>
        </w:rPr>
        <w:t xml:space="preserve"> </w:t>
      </w:r>
      <w:r>
        <w:rPr>
          <w:bCs/>
          <w:color w:val="000000" w:themeColor="text1"/>
        </w:rPr>
        <w:t>2</w:t>
      </w:r>
      <w:r w:rsidRPr="00D600E8">
        <w:rPr>
          <w:bCs/>
          <w:color w:val="000000" w:themeColor="text1"/>
        </w:rPr>
        <w:t xml:space="preserve"> About Here***</w:t>
      </w:r>
    </w:p>
    <w:p w14:paraId="3A2E075F" w14:textId="03ACD537" w:rsidR="0071656E" w:rsidRPr="00A2382F" w:rsidRDefault="000E5B36" w:rsidP="00C30943">
      <w:pPr>
        <w:pStyle w:val="NormalWeb"/>
        <w:spacing w:before="0" w:beforeAutospacing="0" w:after="0" w:afterAutospacing="0" w:line="480" w:lineRule="auto"/>
        <w:ind w:firstLine="720"/>
        <w:rPr>
          <w:color w:val="FF0000"/>
        </w:rPr>
      </w:pPr>
      <w:r w:rsidRPr="005B57E5">
        <w:rPr>
          <w:color w:val="000000" w:themeColor="text1"/>
        </w:rPr>
        <w:lastRenderedPageBreak/>
        <w:t xml:space="preserve">Table 1 displays the descriptive statistics </w:t>
      </w:r>
      <w:r w:rsidR="005B5D17" w:rsidRPr="005B57E5">
        <w:rPr>
          <w:color w:val="000000" w:themeColor="text1"/>
        </w:rPr>
        <w:t>for all counties</w:t>
      </w:r>
      <w:r w:rsidR="00F11BA6" w:rsidRPr="005B57E5">
        <w:rPr>
          <w:color w:val="000000" w:themeColor="text1"/>
        </w:rPr>
        <w:t xml:space="preserve"> (n = 254)</w:t>
      </w:r>
      <w:r w:rsidR="008B1BD8" w:rsidRPr="005B57E5">
        <w:rPr>
          <w:color w:val="000000" w:themeColor="text1"/>
        </w:rPr>
        <w:t>,</w:t>
      </w:r>
      <w:r w:rsidR="005B5D17" w:rsidRPr="005B57E5">
        <w:rPr>
          <w:color w:val="000000" w:themeColor="text1"/>
        </w:rPr>
        <w:t xml:space="preserve"> </w:t>
      </w:r>
      <w:r w:rsidR="008B1BD8" w:rsidRPr="005B57E5">
        <w:rPr>
          <w:color w:val="000000" w:themeColor="text1"/>
        </w:rPr>
        <w:t>counties</w:t>
      </w:r>
      <w:r w:rsidR="005B5D17" w:rsidRPr="005B57E5">
        <w:rPr>
          <w:color w:val="000000" w:themeColor="text1"/>
        </w:rPr>
        <w:t xml:space="preserve"> without </w:t>
      </w:r>
      <w:r w:rsidR="008B1BD8" w:rsidRPr="005B57E5">
        <w:rPr>
          <w:color w:val="000000" w:themeColor="text1"/>
        </w:rPr>
        <w:t xml:space="preserve">TDCJ facilities </w:t>
      </w:r>
      <w:r w:rsidR="00F11BA6" w:rsidRPr="005B57E5">
        <w:rPr>
          <w:color w:val="000000" w:themeColor="text1"/>
        </w:rPr>
        <w:t>(n = 196)</w:t>
      </w:r>
      <w:r w:rsidR="00CA03F0">
        <w:rPr>
          <w:color w:val="000000" w:themeColor="text1"/>
        </w:rPr>
        <w:t>,</w:t>
      </w:r>
      <w:r w:rsidR="00F11BA6" w:rsidRPr="005B57E5">
        <w:rPr>
          <w:color w:val="000000" w:themeColor="text1"/>
        </w:rPr>
        <w:t xml:space="preserve"> </w:t>
      </w:r>
      <w:r w:rsidR="008B1BD8" w:rsidRPr="005B57E5">
        <w:rPr>
          <w:color w:val="000000" w:themeColor="text1"/>
        </w:rPr>
        <w:t>counties with TDCJ facilities (n = 58), counties with TDCJ prisons (n = 40), and counties with non-prison TDCJ facilities</w:t>
      </w:r>
      <w:r w:rsidR="005B5D17" w:rsidRPr="005B57E5">
        <w:rPr>
          <w:color w:val="000000" w:themeColor="text1"/>
        </w:rPr>
        <w:t>.</w:t>
      </w:r>
      <w:r w:rsidR="00AB083F" w:rsidRPr="005B57E5">
        <w:rPr>
          <w:color w:val="000000" w:themeColor="text1"/>
        </w:rPr>
        <w:t xml:space="preserve"> </w:t>
      </w:r>
      <w:r w:rsidR="00AB083F" w:rsidRPr="00BC5343">
        <w:rPr>
          <w:color w:val="000000" w:themeColor="text1"/>
        </w:rPr>
        <w:t>Across all Texas counties, the concentration of PM</w:t>
      </w:r>
      <w:r w:rsidR="00AB083F" w:rsidRPr="00BC5343">
        <w:rPr>
          <w:color w:val="000000" w:themeColor="text1"/>
          <w:vertAlign w:val="subscript"/>
        </w:rPr>
        <w:t>2.5</w:t>
      </w:r>
      <w:r w:rsidR="00AB083F" w:rsidRPr="00BC5343">
        <w:rPr>
          <w:color w:val="000000" w:themeColor="text1"/>
        </w:rPr>
        <w:t xml:space="preserve"> is 8.</w:t>
      </w:r>
      <w:r w:rsidR="000D4065" w:rsidRPr="00BC5343">
        <w:rPr>
          <w:color w:val="000000" w:themeColor="text1"/>
        </w:rPr>
        <w:t>63</w:t>
      </w:r>
      <w:r w:rsidR="00AB083F" w:rsidRPr="00BC5343">
        <w:rPr>
          <w:color w:val="000000" w:themeColor="text1"/>
        </w:rPr>
        <w:t xml:space="preserve"> µg/m</w:t>
      </w:r>
      <w:r w:rsidR="00AB083F" w:rsidRPr="00BC5343">
        <w:rPr>
          <w:color w:val="000000" w:themeColor="text1"/>
          <w:vertAlign w:val="superscript"/>
        </w:rPr>
        <w:t>3</w:t>
      </w:r>
      <w:r w:rsidR="00AB083F" w:rsidRPr="00BC5343">
        <w:rPr>
          <w:color w:val="000000" w:themeColor="text1"/>
        </w:rPr>
        <w:t xml:space="preserve">. This figure is higher in counties with </w:t>
      </w:r>
      <w:r w:rsidR="008E2401" w:rsidRPr="00BC5343">
        <w:rPr>
          <w:color w:val="000000" w:themeColor="text1"/>
        </w:rPr>
        <w:t>TDCJ</w:t>
      </w:r>
      <w:r w:rsidR="00AB083F" w:rsidRPr="00BC5343">
        <w:rPr>
          <w:color w:val="000000" w:themeColor="text1"/>
        </w:rPr>
        <w:t xml:space="preserve"> facilities at 9.1</w:t>
      </w:r>
      <w:r w:rsidR="008F5CEA" w:rsidRPr="00BC5343">
        <w:rPr>
          <w:color w:val="000000" w:themeColor="text1"/>
        </w:rPr>
        <w:t>1</w:t>
      </w:r>
      <w:r w:rsidR="00AB083F" w:rsidRPr="00BC5343">
        <w:rPr>
          <w:color w:val="000000" w:themeColor="text1"/>
        </w:rPr>
        <w:t xml:space="preserve"> µg/m</w:t>
      </w:r>
      <w:r w:rsidR="00AB083F" w:rsidRPr="00BC5343">
        <w:rPr>
          <w:color w:val="000000" w:themeColor="text1"/>
          <w:vertAlign w:val="superscript"/>
        </w:rPr>
        <w:t xml:space="preserve">3 </w:t>
      </w:r>
      <w:r w:rsidR="00AB083F" w:rsidRPr="00BC5343">
        <w:rPr>
          <w:color w:val="000000" w:themeColor="text1"/>
        </w:rPr>
        <w:t xml:space="preserve">and is lower in counties without </w:t>
      </w:r>
      <w:r w:rsidR="008E2401" w:rsidRPr="00BC5343">
        <w:rPr>
          <w:color w:val="000000" w:themeColor="text1"/>
        </w:rPr>
        <w:t>TDCJ</w:t>
      </w:r>
      <w:r w:rsidR="00AB083F" w:rsidRPr="00BC5343">
        <w:rPr>
          <w:color w:val="000000" w:themeColor="text1"/>
        </w:rPr>
        <w:t xml:space="preserve"> facilities at 8.</w:t>
      </w:r>
      <w:r w:rsidR="000D4065" w:rsidRPr="00BC5343">
        <w:rPr>
          <w:color w:val="000000" w:themeColor="text1"/>
        </w:rPr>
        <w:t>49</w:t>
      </w:r>
      <w:r w:rsidR="00AB083F" w:rsidRPr="00BC5343">
        <w:rPr>
          <w:color w:val="000000" w:themeColor="text1"/>
        </w:rPr>
        <w:t xml:space="preserve"> µg/m</w:t>
      </w:r>
      <w:r w:rsidR="00AB083F" w:rsidRPr="00BC5343">
        <w:rPr>
          <w:color w:val="000000" w:themeColor="text1"/>
          <w:vertAlign w:val="superscript"/>
        </w:rPr>
        <w:t>3</w:t>
      </w:r>
      <w:r w:rsidR="00BC7A07" w:rsidRPr="00BC5343">
        <w:rPr>
          <w:color w:val="000000" w:themeColor="text1"/>
        </w:rPr>
        <w:t>, suggesting a relationship between facility location and exposure to PM</w:t>
      </w:r>
      <w:r w:rsidR="00BC7A07" w:rsidRPr="00BC5343">
        <w:rPr>
          <w:color w:val="000000" w:themeColor="text1"/>
          <w:vertAlign w:val="subscript"/>
        </w:rPr>
        <w:t>2.5</w:t>
      </w:r>
      <w:r w:rsidR="00BC7A07" w:rsidRPr="00BC5343">
        <w:rPr>
          <w:color w:val="000000" w:themeColor="text1"/>
        </w:rPr>
        <w:t>.</w:t>
      </w:r>
      <w:r w:rsidR="005B57E5" w:rsidRPr="00BC5343">
        <w:rPr>
          <w:color w:val="000000" w:themeColor="text1"/>
        </w:rPr>
        <w:t xml:space="preserve"> Counties with </w:t>
      </w:r>
      <w:r w:rsidR="00F91CE2">
        <w:rPr>
          <w:color w:val="000000" w:themeColor="text1"/>
        </w:rPr>
        <w:t xml:space="preserve">a </w:t>
      </w:r>
      <w:r w:rsidR="005B57E5" w:rsidRPr="00BC5343">
        <w:rPr>
          <w:color w:val="000000" w:themeColor="text1"/>
        </w:rPr>
        <w:t>non-prison TDCJ facilit</w:t>
      </w:r>
      <w:r w:rsidR="00F91CE2">
        <w:rPr>
          <w:color w:val="000000" w:themeColor="text1"/>
        </w:rPr>
        <w:t>y</w:t>
      </w:r>
      <w:r w:rsidR="005B57E5" w:rsidRPr="00BC5343">
        <w:rPr>
          <w:color w:val="000000" w:themeColor="text1"/>
        </w:rPr>
        <w:t xml:space="preserve"> have the highest average concentration of PM</w:t>
      </w:r>
      <w:r w:rsidR="005B57E5" w:rsidRPr="00BC5343">
        <w:rPr>
          <w:color w:val="000000" w:themeColor="text1"/>
          <w:vertAlign w:val="subscript"/>
        </w:rPr>
        <w:t>2.5</w:t>
      </w:r>
      <w:r w:rsidR="005B57E5" w:rsidRPr="00BC5343">
        <w:rPr>
          <w:color w:val="000000" w:themeColor="text1"/>
        </w:rPr>
        <w:t xml:space="preserve"> at 9.37 µg/m</w:t>
      </w:r>
      <w:r w:rsidR="005B57E5" w:rsidRPr="00BC5343">
        <w:rPr>
          <w:color w:val="000000" w:themeColor="text1"/>
          <w:vertAlign w:val="superscript"/>
        </w:rPr>
        <w:t>3</w:t>
      </w:r>
      <w:r w:rsidR="00CA03F0">
        <w:rPr>
          <w:color w:val="000000" w:themeColor="text1"/>
        </w:rPr>
        <w:t>, w</w:t>
      </w:r>
      <w:r w:rsidR="005B57E5" w:rsidRPr="00BC5343">
        <w:rPr>
          <w:color w:val="000000" w:themeColor="text1"/>
        </w:rPr>
        <w:t xml:space="preserve">hile counties with </w:t>
      </w:r>
      <w:r w:rsidR="00F91CE2">
        <w:rPr>
          <w:color w:val="000000" w:themeColor="text1"/>
        </w:rPr>
        <w:t xml:space="preserve">a </w:t>
      </w:r>
      <w:r w:rsidR="005B57E5" w:rsidRPr="00BC5343">
        <w:rPr>
          <w:color w:val="000000" w:themeColor="text1"/>
        </w:rPr>
        <w:t>TDCJ prison have an average PM</w:t>
      </w:r>
      <w:r w:rsidR="005B57E5" w:rsidRPr="00BC5343">
        <w:rPr>
          <w:color w:val="000000" w:themeColor="text1"/>
          <w:vertAlign w:val="subscript"/>
        </w:rPr>
        <w:t>2.5</w:t>
      </w:r>
      <w:r w:rsidR="005B57E5" w:rsidRPr="00BC5343">
        <w:rPr>
          <w:color w:val="000000" w:themeColor="text1"/>
        </w:rPr>
        <w:t xml:space="preserve"> concentration of 9.04 µg/m</w:t>
      </w:r>
      <w:r w:rsidR="005B57E5" w:rsidRPr="00BC5343">
        <w:rPr>
          <w:color w:val="000000" w:themeColor="text1"/>
          <w:vertAlign w:val="superscript"/>
        </w:rPr>
        <w:t>3</w:t>
      </w:r>
      <w:r w:rsidR="005B57E5" w:rsidRPr="00BC5343">
        <w:rPr>
          <w:color w:val="000000" w:themeColor="text1"/>
        </w:rPr>
        <w:t>.</w:t>
      </w:r>
      <w:r w:rsidR="00C41A64" w:rsidRPr="00BC5343">
        <w:rPr>
          <w:color w:val="000000" w:themeColor="text1"/>
        </w:rPr>
        <w:t xml:space="preserve"> </w:t>
      </w:r>
      <w:r w:rsidR="000575FF">
        <w:rPr>
          <w:color w:val="000000" w:themeColor="text1"/>
        </w:rPr>
        <w:t xml:space="preserve">The average land area of all counties is </w:t>
      </w:r>
      <w:r w:rsidR="000575FF">
        <w:t>1</w:t>
      </w:r>
      <w:r w:rsidR="006931B9">
        <w:t>,</w:t>
      </w:r>
      <w:r w:rsidR="000575FF">
        <w:t xml:space="preserve">057 square miles and is </w:t>
      </w:r>
      <w:proofErr w:type="gramStart"/>
      <w:r w:rsidR="000575FF">
        <w:t>fairly consistent</w:t>
      </w:r>
      <w:proofErr w:type="gramEnd"/>
      <w:r w:rsidR="000575FF">
        <w:t xml:space="preserve"> across counties with different facility types. Counties with a non-prison TDCJ facility have the smallest average land area (1</w:t>
      </w:r>
      <w:r w:rsidR="006931B9">
        <w:t>,</w:t>
      </w:r>
      <w:r w:rsidR="000575FF">
        <w:t>002 square miles) while counties without TDCJ facilities have the largest average land area (1</w:t>
      </w:r>
      <w:r w:rsidR="006931B9">
        <w:t>,</w:t>
      </w:r>
      <w:r w:rsidR="000575FF">
        <w:t xml:space="preserve">062 square miles). </w:t>
      </w:r>
      <w:r w:rsidR="00F91CE2">
        <w:t xml:space="preserve">The average share of employees who work industry jobs across all Texas counties is 28.24%. This figure is lowest in counties with a non-prison TDCJ facility (23.64%) and highest in counties without TDCJ facilities (29.29%). </w:t>
      </w:r>
      <w:r w:rsidR="0076152D" w:rsidRPr="00BC5343">
        <w:rPr>
          <w:color w:val="000000" w:themeColor="text1"/>
        </w:rPr>
        <w:t xml:space="preserve">The average median household income across all Texas counties is </w:t>
      </w:r>
      <w:r w:rsidR="006713D2" w:rsidRPr="00BC5343">
        <w:rPr>
          <w:color w:val="000000" w:themeColor="text1"/>
        </w:rPr>
        <w:t>$</w:t>
      </w:r>
      <w:r w:rsidR="0076152D" w:rsidRPr="00BC5343">
        <w:rPr>
          <w:color w:val="000000" w:themeColor="text1"/>
        </w:rPr>
        <w:t>52</w:t>
      </w:r>
      <w:r w:rsidR="00CA03F0">
        <w:rPr>
          <w:color w:val="000000" w:themeColor="text1"/>
        </w:rPr>
        <w:t>,</w:t>
      </w:r>
      <w:r w:rsidR="0076152D" w:rsidRPr="00BC5343">
        <w:rPr>
          <w:color w:val="000000" w:themeColor="text1"/>
        </w:rPr>
        <w:t>8</w:t>
      </w:r>
      <w:r w:rsidR="008F5CEA" w:rsidRPr="00BC5343">
        <w:rPr>
          <w:color w:val="000000" w:themeColor="text1"/>
        </w:rPr>
        <w:t>5</w:t>
      </w:r>
      <w:r w:rsidR="00CA03F0">
        <w:rPr>
          <w:color w:val="000000" w:themeColor="text1"/>
        </w:rPr>
        <w:t>0</w:t>
      </w:r>
      <w:r w:rsidR="0076152D" w:rsidRPr="00BC5343">
        <w:rPr>
          <w:color w:val="000000" w:themeColor="text1"/>
        </w:rPr>
        <w:t xml:space="preserve">, </w:t>
      </w:r>
      <w:r w:rsidR="006F00CE" w:rsidRPr="00BC5343">
        <w:rPr>
          <w:color w:val="000000" w:themeColor="text1"/>
        </w:rPr>
        <w:t xml:space="preserve">and </w:t>
      </w:r>
      <w:r w:rsidR="000575FF">
        <w:rPr>
          <w:color w:val="000000" w:themeColor="text1"/>
        </w:rPr>
        <w:t xml:space="preserve">ranges from </w:t>
      </w:r>
      <w:r w:rsidR="00A05A82">
        <w:rPr>
          <w:color w:val="000000" w:themeColor="text1"/>
        </w:rPr>
        <w:t xml:space="preserve">an average of </w:t>
      </w:r>
      <w:r w:rsidR="000575FF" w:rsidRPr="00BC5343">
        <w:rPr>
          <w:color w:val="000000" w:themeColor="text1"/>
        </w:rPr>
        <w:t>$52</w:t>
      </w:r>
      <w:r w:rsidR="00CA03F0">
        <w:rPr>
          <w:color w:val="000000" w:themeColor="text1"/>
        </w:rPr>
        <w:t>,</w:t>
      </w:r>
      <w:r w:rsidR="000575FF" w:rsidRPr="00BC5343">
        <w:rPr>
          <w:color w:val="000000" w:themeColor="text1"/>
        </w:rPr>
        <w:t>33</w:t>
      </w:r>
      <w:r w:rsidR="00CA03F0">
        <w:rPr>
          <w:color w:val="000000" w:themeColor="text1"/>
        </w:rPr>
        <w:t>0</w:t>
      </w:r>
      <w:r w:rsidR="000575FF" w:rsidRPr="00BC5343">
        <w:rPr>
          <w:color w:val="000000" w:themeColor="text1"/>
        </w:rPr>
        <w:t xml:space="preserve"> </w:t>
      </w:r>
      <w:r w:rsidR="000575FF">
        <w:rPr>
          <w:color w:val="000000" w:themeColor="text1"/>
        </w:rPr>
        <w:t xml:space="preserve">in </w:t>
      </w:r>
      <w:r w:rsidR="000575FF" w:rsidRPr="00BC5343">
        <w:rPr>
          <w:color w:val="000000" w:themeColor="text1"/>
        </w:rPr>
        <w:t xml:space="preserve">counties with TDCJ prisons </w:t>
      </w:r>
      <w:r w:rsidR="000575FF">
        <w:rPr>
          <w:color w:val="000000" w:themeColor="text1"/>
        </w:rPr>
        <w:t xml:space="preserve">to </w:t>
      </w:r>
      <w:r w:rsidR="00A05A82">
        <w:rPr>
          <w:color w:val="000000" w:themeColor="text1"/>
        </w:rPr>
        <w:t xml:space="preserve">an average of </w:t>
      </w:r>
      <w:r w:rsidR="000575FF" w:rsidRPr="00BC5343">
        <w:rPr>
          <w:color w:val="000000" w:themeColor="text1"/>
        </w:rPr>
        <w:t>$55</w:t>
      </w:r>
      <w:r w:rsidR="00CA03F0">
        <w:rPr>
          <w:color w:val="000000" w:themeColor="text1"/>
        </w:rPr>
        <w:t>,</w:t>
      </w:r>
      <w:r w:rsidR="000575FF" w:rsidRPr="00BC5343">
        <w:rPr>
          <w:color w:val="000000" w:themeColor="text1"/>
        </w:rPr>
        <w:t>53</w:t>
      </w:r>
      <w:r w:rsidR="00CA03F0">
        <w:rPr>
          <w:color w:val="000000" w:themeColor="text1"/>
        </w:rPr>
        <w:t>0</w:t>
      </w:r>
      <w:r w:rsidR="000575FF" w:rsidRPr="00BC5343">
        <w:rPr>
          <w:color w:val="000000" w:themeColor="text1"/>
        </w:rPr>
        <w:t xml:space="preserve"> </w:t>
      </w:r>
      <w:r w:rsidR="00A05A82">
        <w:rPr>
          <w:color w:val="000000" w:themeColor="text1"/>
        </w:rPr>
        <w:t>in counties</w:t>
      </w:r>
      <w:r w:rsidR="00BC5343" w:rsidRPr="00BC5343">
        <w:rPr>
          <w:color w:val="000000" w:themeColor="text1"/>
        </w:rPr>
        <w:t xml:space="preserve"> with non-prison TDCJ facilities</w:t>
      </w:r>
      <w:r w:rsidR="000575FF">
        <w:rPr>
          <w:color w:val="000000" w:themeColor="text1"/>
        </w:rPr>
        <w:t xml:space="preserve">. </w:t>
      </w:r>
      <w:r w:rsidR="00E42D1C" w:rsidRPr="00D66D2A">
        <w:rPr>
          <w:color w:val="000000" w:themeColor="text1"/>
        </w:rPr>
        <w:t xml:space="preserve">The average population </w:t>
      </w:r>
      <w:r w:rsidR="00C12358" w:rsidRPr="00D66D2A">
        <w:rPr>
          <w:color w:val="000000" w:themeColor="text1"/>
        </w:rPr>
        <w:t xml:space="preserve">density </w:t>
      </w:r>
      <w:r w:rsidR="00E42D1C" w:rsidRPr="00D66D2A">
        <w:rPr>
          <w:color w:val="000000" w:themeColor="text1"/>
        </w:rPr>
        <w:t xml:space="preserve">across all Texas counties is </w:t>
      </w:r>
      <w:r w:rsidR="00F26D50">
        <w:rPr>
          <w:color w:val="000000" w:themeColor="text1"/>
        </w:rPr>
        <w:t>120</w:t>
      </w:r>
      <w:r w:rsidR="00061FD1" w:rsidRPr="00D66D2A">
        <w:rPr>
          <w:color w:val="000000" w:themeColor="text1"/>
        </w:rPr>
        <w:t xml:space="preserve"> residents per square mile</w:t>
      </w:r>
      <w:r w:rsidR="00A05A82">
        <w:rPr>
          <w:color w:val="000000" w:themeColor="text1"/>
        </w:rPr>
        <w:t xml:space="preserve"> and there is more variability in this measure by county facility type than in other measures. </w:t>
      </w:r>
      <w:r w:rsidR="00C12358" w:rsidRPr="00D66D2A">
        <w:rPr>
          <w:color w:val="000000" w:themeColor="text1"/>
        </w:rPr>
        <w:t>Population density is</w:t>
      </w:r>
      <w:r w:rsidR="00A05A82">
        <w:rPr>
          <w:color w:val="000000" w:themeColor="text1"/>
        </w:rPr>
        <w:t xml:space="preserve"> lowest among counties </w:t>
      </w:r>
      <w:r w:rsidR="00A05A82" w:rsidRPr="00D66D2A">
        <w:rPr>
          <w:color w:val="000000" w:themeColor="text1"/>
        </w:rPr>
        <w:t>with TDCJ prisons</w:t>
      </w:r>
      <w:r w:rsidR="00A05A82">
        <w:rPr>
          <w:color w:val="000000" w:themeColor="text1"/>
        </w:rPr>
        <w:t xml:space="preserve"> (90</w:t>
      </w:r>
      <w:r w:rsidR="00A05A82" w:rsidRPr="00D66D2A">
        <w:rPr>
          <w:color w:val="000000" w:themeColor="text1"/>
        </w:rPr>
        <w:t xml:space="preserve"> residents per square mile</w:t>
      </w:r>
      <w:r w:rsidR="00CC416C">
        <w:rPr>
          <w:color w:val="000000" w:themeColor="text1"/>
        </w:rPr>
        <w:t xml:space="preserve"> on average</w:t>
      </w:r>
      <w:r w:rsidR="00A05A82">
        <w:rPr>
          <w:color w:val="000000" w:themeColor="text1"/>
        </w:rPr>
        <w:t xml:space="preserve">) and highest among counties </w:t>
      </w:r>
      <w:r w:rsidR="00A05A82" w:rsidRPr="00D66D2A">
        <w:rPr>
          <w:color w:val="000000" w:themeColor="text1"/>
        </w:rPr>
        <w:t>without TDCJ facilities</w:t>
      </w:r>
      <w:r w:rsidR="00A05A82">
        <w:rPr>
          <w:color w:val="000000" w:themeColor="text1"/>
        </w:rPr>
        <w:t xml:space="preserve"> (770</w:t>
      </w:r>
      <w:r w:rsidR="00A05A82" w:rsidRPr="00D66D2A">
        <w:rPr>
          <w:color w:val="000000" w:themeColor="text1"/>
        </w:rPr>
        <w:t xml:space="preserve"> residents per square mile</w:t>
      </w:r>
      <w:r w:rsidR="00CC416C">
        <w:rPr>
          <w:color w:val="000000" w:themeColor="text1"/>
        </w:rPr>
        <w:t xml:space="preserve"> on average</w:t>
      </w:r>
      <w:r w:rsidR="00A05A82">
        <w:rPr>
          <w:color w:val="000000" w:themeColor="text1"/>
        </w:rPr>
        <w:t xml:space="preserve">). </w:t>
      </w:r>
      <w:r w:rsidR="00CC416C">
        <w:rPr>
          <w:color w:val="000000" w:themeColor="text1"/>
        </w:rPr>
        <w:t>Co</w:t>
      </w:r>
      <w:r w:rsidR="00F11BA6" w:rsidRPr="00D66D2A">
        <w:rPr>
          <w:color w:val="000000" w:themeColor="text1"/>
        </w:rPr>
        <w:t xml:space="preserve">unties with </w:t>
      </w:r>
      <w:r w:rsidR="008E2401" w:rsidRPr="00D66D2A">
        <w:rPr>
          <w:color w:val="000000" w:themeColor="text1"/>
        </w:rPr>
        <w:t xml:space="preserve">TDCJ </w:t>
      </w:r>
      <w:r w:rsidR="00F11BA6" w:rsidRPr="00D66D2A">
        <w:rPr>
          <w:color w:val="000000" w:themeColor="text1"/>
        </w:rPr>
        <w:t xml:space="preserve">facilities </w:t>
      </w:r>
      <w:r w:rsidR="00CC416C">
        <w:rPr>
          <w:color w:val="000000" w:themeColor="text1"/>
        </w:rPr>
        <w:t>have</w:t>
      </w:r>
      <w:r w:rsidR="00C12358" w:rsidRPr="00D66D2A">
        <w:rPr>
          <w:color w:val="000000" w:themeColor="text1"/>
        </w:rPr>
        <w:t xml:space="preserve"> an</w:t>
      </w:r>
      <w:r w:rsidR="00F11BA6" w:rsidRPr="00D66D2A">
        <w:rPr>
          <w:color w:val="000000" w:themeColor="text1"/>
        </w:rPr>
        <w:t xml:space="preserve"> average </w:t>
      </w:r>
      <w:r w:rsidR="00061FD1" w:rsidRPr="00D66D2A">
        <w:rPr>
          <w:color w:val="000000" w:themeColor="text1"/>
        </w:rPr>
        <w:t xml:space="preserve">of </w:t>
      </w:r>
      <w:r w:rsidR="00F26D50">
        <w:rPr>
          <w:color w:val="000000" w:themeColor="text1"/>
        </w:rPr>
        <w:t>250</w:t>
      </w:r>
      <w:r w:rsidR="00F11BA6" w:rsidRPr="00D66D2A">
        <w:rPr>
          <w:color w:val="000000" w:themeColor="text1"/>
        </w:rPr>
        <w:t xml:space="preserve"> residents per square mile</w:t>
      </w:r>
      <w:r w:rsidR="00CC416C">
        <w:rPr>
          <w:color w:val="000000" w:themeColor="text1"/>
        </w:rPr>
        <w:t xml:space="preserve"> and </w:t>
      </w:r>
      <w:r w:rsidR="00D66D2A" w:rsidRPr="00D66D2A">
        <w:rPr>
          <w:color w:val="000000" w:themeColor="text1"/>
        </w:rPr>
        <w:t xml:space="preserve">counties with non-prison TDCJ facilities </w:t>
      </w:r>
      <w:r w:rsidR="00CC416C">
        <w:rPr>
          <w:color w:val="000000" w:themeColor="text1"/>
        </w:rPr>
        <w:t>have an average of</w:t>
      </w:r>
      <w:r w:rsidR="00D66D2A" w:rsidRPr="00D66D2A">
        <w:rPr>
          <w:color w:val="000000" w:themeColor="text1"/>
        </w:rPr>
        <w:t xml:space="preserve"> </w:t>
      </w:r>
      <w:r w:rsidR="00F26D50">
        <w:rPr>
          <w:color w:val="000000" w:themeColor="text1"/>
        </w:rPr>
        <w:t>490</w:t>
      </w:r>
      <w:r w:rsidR="00D66D2A" w:rsidRPr="00D66D2A">
        <w:rPr>
          <w:color w:val="000000" w:themeColor="text1"/>
        </w:rPr>
        <w:t xml:space="preserve"> residents per square mile. </w:t>
      </w:r>
      <w:r w:rsidR="00AE131B">
        <w:rPr>
          <w:color w:val="000000" w:themeColor="text1"/>
        </w:rPr>
        <w:t>The average share of the county population</w:t>
      </w:r>
      <w:r w:rsidR="002B19B4">
        <w:rPr>
          <w:color w:val="000000" w:themeColor="text1"/>
        </w:rPr>
        <w:t>,</w:t>
      </w:r>
      <w:r w:rsidR="00AE131B">
        <w:rPr>
          <w:color w:val="000000" w:themeColor="text1"/>
        </w:rPr>
        <w:t xml:space="preserve"> which is </w:t>
      </w:r>
      <w:r w:rsidR="00807939">
        <w:rPr>
          <w:color w:val="000000" w:themeColor="text1"/>
        </w:rPr>
        <w:t>individuals</w:t>
      </w:r>
      <w:r w:rsidR="00AE131B">
        <w:rPr>
          <w:color w:val="000000" w:themeColor="text1"/>
        </w:rPr>
        <w:t xml:space="preserve"> in TDCJ facilities is between 2.99% and 7.01% across all counties with at least one </w:t>
      </w:r>
      <w:r w:rsidR="00AE131B">
        <w:rPr>
          <w:color w:val="000000" w:themeColor="text1"/>
        </w:rPr>
        <w:lastRenderedPageBreak/>
        <w:t>facility</w:t>
      </w:r>
      <w:r w:rsidR="00D66D2A">
        <w:rPr>
          <w:color w:val="000000" w:themeColor="text1"/>
        </w:rPr>
        <w:t xml:space="preserve">. </w:t>
      </w:r>
      <w:r w:rsidR="00055D23" w:rsidRPr="00D66D2A">
        <w:rPr>
          <w:color w:val="000000" w:themeColor="text1"/>
        </w:rPr>
        <w:t>The average percentage of non-Hispanic</w:t>
      </w:r>
      <w:r w:rsidR="00D66D2A" w:rsidRPr="00D66D2A">
        <w:rPr>
          <w:color w:val="000000" w:themeColor="text1"/>
        </w:rPr>
        <w:t xml:space="preserve"> </w:t>
      </w:r>
      <w:r w:rsidR="000040A8" w:rsidRPr="00D66D2A">
        <w:rPr>
          <w:color w:val="000000" w:themeColor="text1"/>
        </w:rPr>
        <w:t>W</w:t>
      </w:r>
      <w:r w:rsidR="00055D23" w:rsidRPr="00D66D2A">
        <w:rPr>
          <w:color w:val="000000" w:themeColor="text1"/>
        </w:rPr>
        <w:t xml:space="preserve">hite residents across all Texas counties is </w:t>
      </w:r>
      <w:r w:rsidR="00023517" w:rsidRPr="00D66D2A">
        <w:rPr>
          <w:color w:val="000000" w:themeColor="text1"/>
        </w:rPr>
        <w:t>55.</w:t>
      </w:r>
      <w:r w:rsidR="0084494A" w:rsidRPr="00D66D2A">
        <w:rPr>
          <w:color w:val="000000" w:themeColor="text1"/>
        </w:rPr>
        <w:t>47</w:t>
      </w:r>
      <w:r w:rsidR="00023517" w:rsidRPr="00D66D2A">
        <w:rPr>
          <w:color w:val="000000" w:themeColor="text1"/>
        </w:rPr>
        <w:t>%</w:t>
      </w:r>
      <w:r w:rsidR="00055D23" w:rsidRPr="00D66D2A">
        <w:rPr>
          <w:color w:val="000000" w:themeColor="text1"/>
        </w:rPr>
        <w:t xml:space="preserve">, and </w:t>
      </w:r>
      <w:r w:rsidR="00CC416C">
        <w:rPr>
          <w:color w:val="000000" w:themeColor="text1"/>
        </w:rPr>
        <w:t xml:space="preserve">ranges from </w:t>
      </w:r>
      <w:r w:rsidR="00CC416C" w:rsidRPr="00D66D2A">
        <w:rPr>
          <w:color w:val="000000" w:themeColor="text1"/>
        </w:rPr>
        <w:t xml:space="preserve">52.77% </w:t>
      </w:r>
      <w:r w:rsidR="00CC416C">
        <w:rPr>
          <w:color w:val="000000" w:themeColor="text1"/>
        </w:rPr>
        <w:t xml:space="preserve">in </w:t>
      </w:r>
      <w:r w:rsidR="00CC416C" w:rsidRPr="00D66D2A">
        <w:rPr>
          <w:color w:val="000000" w:themeColor="text1"/>
        </w:rPr>
        <w:t xml:space="preserve">counties with non-prison TDCJ facilities </w:t>
      </w:r>
      <w:r w:rsidR="00CC416C">
        <w:rPr>
          <w:color w:val="000000" w:themeColor="text1"/>
        </w:rPr>
        <w:t xml:space="preserve">to 56.19% in </w:t>
      </w:r>
      <w:r w:rsidR="00055D23" w:rsidRPr="00D66D2A">
        <w:rPr>
          <w:color w:val="000000" w:themeColor="text1"/>
        </w:rPr>
        <w:t>counties without TDCJ facilities</w:t>
      </w:r>
      <w:r w:rsidR="00CC416C">
        <w:rPr>
          <w:color w:val="000000" w:themeColor="text1"/>
        </w:rPr>
        <w:t>.</w:t>
      </w:r>
      <w:r w:rsidR="00D66D2A" w:rsidRPr="00D66D2A">
        <w:rPr>
          <w:color w:val="000000" w:themeColor="text1"/>
        </w:rPr>
        <w:t xml:space="preserve"> </w:t>
      </w:r>
    </w:p>
    <w:p w14:paraId="2F03623D" w14:textId="5345DCA2" w:rsidR="00142604" w:rsidRPr="00142604" w:rsidRDefault="00142604" w:rsidP="00C30943">
      <w:pPr>
        <w:spacing w:line="480" w:lineRule="auto"/>
        <w:ind w:left="14" w:hanging="14"/>
        <w:jc w:val="center"/>
        <w:rPr>
          <w:bCs/>
          <w:color w:val="000000" w:themeColor="text1"/>
        </w:rPr>
      </w:pPr>
      <w:r w:rsidRPr="00D600E8">
        <w:rPr>
          <w:bCs/>
          <w:color w:val="000000" w:themeColor="text1"/>
        </w:rPr>
        <w:t xml:space="preserve">***Insert Table </w:t>
      </w:r>
      <w:r>
        <w:rPr>
          <w:bCs/>
          <w:color w:val="000000" w:themeColor="text1"/>
        </w:rPr>
        <w:t>1</w:t>
      </w:r>
      <w:r w:rsidRPr="00D600E8">
        <w:rPr>
          <w:bCs/>
          <w:color w:val="000000" w:themeColor="text1"/>
        </w:rPr>
        <w:t xml:space="preserve"> About Here***</w:t>
      </w:r>
    </w:p>
    <w:p w14:paraId="5037D80D" w14:textId="0E7C0166" w:rsidR="00B02FF2" w:rsidRPr="00F03F55" w:rsidRDefault="00FA7628" w:rsidP="00C30943">
      <w:pPr>
        <w:pStyle w:val="NormalWeb"/>
        <w:spacing w:before="0" w:beforeAutospacing="0" w:after="0" w:afterAutospacing="0" w:line="480" w:lineRule="auto"/>
        <w:rPr>
          <w:color w:val="000000" w:themeColor="text1"/>
        </w:rPr>
      </w:pPr>
      <w:r w:rsidRPr="00FA7628">
        <w:tab/>
        <w:t>Table 2 presents the results of the OLS regression showing PM</w:t>
      </w:r>
      <w:r w:rsidRPr="00FA7628">
        <w:rPr>
          <w:vertAlign w:val="subscript"/>
        </w:rPr>
        <w:t>2.5</w:t>
      </w:r>
      <w:r w:rsidRPr="00FA7628">
        <w:t xml:space="preserve"> concentrations in counties with </w:t>
      </w:r>
      <w:r w:rsidRPr="00F03F55">
        <w:rPr>
          <w:color w:val="000000" w:themeColor="text1"/>
        </w:rPr>
        <w:t>TDCJ facilities relative to in counties without TDCJ facilities.</w:t>
      </w:r>
      <w:r w:rsidR="0065001D" w:rsidRPr="00F03F55">
        <w:rPr>
          <w:color w:val="000000" w:themeColor="text1"/>
        </w:rPr>
        <w:t xml:space="preserve"> Each row presents how each measure is related to PM</w:t>
      </w:r>
      <w:r w:rsidR="0065001D" w:rsidRPr="00F03F55">
        <w:rPr>
          <w:color w:val="000000" w:themeColor="text1"/>
          <w:vertAlign w:val="subscript"/>
        </w:rPr>
        <w:t>2.5</w:t>
      </w:r>
      <w:r w:rsidR="0065001D" w:rsidRPr="00F03F55">
        <w:rPr>
          <w:color w:val="000000" w:themeColor="text1"/>
        </w:rPr>
        <w:t>. The first column shows the beta coefficient (</w:t>
      </w:r>
      <w:r w:rsidR="0065001D" w:rsidRPr="00F03F55">
        <w:rPr>
          <w:i/>
          <w:iCs/>
          <w:color w:val="000000" w:themeColor="text1"/>
        </w:rPr>
        <w:t>b</w:t>
      </w:r>
      <w:r w:rsidR="0065001D" w:rsidRPr="00F03F55">
        <w:rPr>
          <w:color w:val="000000" w:themeColor="text1"/>
        </w:rPr>
        <w:t>), which is how much PM</w:t>
      </w:r>
      <w:r w:rsidR="0065001D" w:rsidRPr="00F03F55">
        <w:rPr>
          <w:color w:val="000000" w:themeColor="text1"/>
          <w:vertAlign w:val="subscript"/>
        </w:rPr>
        <w:t xml:space="preserve">2.5 </w:t>
      </w:r>
      <w:r w:rsidR="0065001D" w:rsidRPr="00F03F55">
        <w:rPr>
          <w:color w:val="000000" w:themeColor="text1"/>
        </w:rPr>
        <w:t xml:space="preserve">changes with a </w:t>
      </w:r>
      <w:r w:rsidR="00705FF2" w:rsidRPr="00F03F55">
        <w:rPr>
          <w:color w:val="000000" w:themeColor="text1"/>
        </w:rPr>
        <w:t>one-unit</w:t>
      </w:r>
      <w:r w:rsidR="0065001D" w:rsidRPr="00F03F55">
        <w:rPr>
          <w:color w:val="000000" w:themeColor="text1"/>
        </w:rPr>
        <w:t xml:space="preserve"> increase in each independent variable. In row one, beta is the difference in the concentration of PM</w:t>
      </w:r>
      <w:r w:rsidR="0065001D" w:rsidRPr="00F03F55">
        <w:rPr>
          <w:color w:val="000000" w:themeColor="text1"/>
          <w:vertAlign w:val="subscript"/>
        </w:rPr>
        <w:t>2.5</w:t>
      </w:r>
      <w:r w:rsidR="0065001D" w:rsidRPr="00F03F55">
        <w:rPr>
          <w:color w:val="000000" w:themeColor="text1"/>
        </w:rPr>
        <w:t xml:space="preserve"> in counties with TDCJ facilities relative to in counties without TDCJ facilities. Column two presents the 95% confidence intervals and column three gives the p-value.</w:t>
      </w:r>
      <w:r w:rsidR="00330DAD" w:rsidRPr="00F03F55">
        <w:rPr>
          <w:color w:val="000000" w:themeColor="text1"/>
        </w:rPr>
        <w:t xml:space="preserve"> </w:t>
      </w:r>
      <w:r w:rsidR="00A1295D" w:rsidRPr="00F03F55">
        <w:rPr>
          <w:color w:val="000000" w:themeColor="text1"/>
        </w:rPr>
        <w:t>The R</w:t>
      </w:r>
      <w:r w:rsidR="00A1295D" w:rsidRPr="00F03F55">
        <w:rPr>
          <w:color w:val="000000" w:themeColor="text1"/>
          <w:vertAlign w:val="superscript"/>
        </w:rPr>
        <w:t>2</w:t>
      </w:r>
      <w:r w:rsidR="00A1295D" w:rsidRPr="00F03F55">
        <w:rPr>
          <w:color w:val="000000" w:themeColor="text1"/>
        </w:rPr>
        <w:t xml:space="preserve"> and root MSE values are listed in the table notes for information on model performance. </w:t>
      </w:r>
      <w:r w:rsidR="00B02FF2" w:rsidRPr="00F03F55">
        <w:rPr>
          <w:color w:val="000000" w:themeColor="text1"/>
          <w:shd w:val="clear" w:color="auto" w:fill="FFFFFF"/>
        </w:rPr>
        <w:t>The results</w:t>
      </w:r>
      <w:r w:rsidR="00427E89" w:rsidRPr="00F03F55">
        <w:rPr>
          <w:color w:val="000000" w:themeColor="text1"/>
          <w:shd w:val="clear" w:color="auto" w:fill="FFFFFF"/>
        </w:rPr>
        <w:t xml:space="preserve"> indicate that</w:t>
      </w:r>
      <w:r w:rsidR="00B02FF2" w:rsidRPr="00F03F55">
        <w:rPr>
          <w:color w:val="000000" w:themeColor="text1"/>
          <w:shd w:val="clear" w:color="auto" w:fill="FFFFFF"/>
        </w:rPr>
        <w:t xml:space="preserve">, compared to </w:t>
      </w:r>
      <w:r w:rsidR="00427E89" w:rsidRPr="00F03F55">
        <w:rPr>
          <w:color w:val="000000" w:themeColor="text1"/>
          <w:shd w:val="clear" w:color="auto" w:fill="FFFFFF"/>
        </w:rPr>
        <w:t>counties without TDCJ facilities, counties that have one or more TDCJ facilities have</w:t>
      </w:r>
      <w:r w:rsidR="00875CAC" w:rsidRPr="00F03F55">
        <w:rPr>
          <w:color w:val="000000" w:themeColor="text1"/>
          <w:shd w:val="clear" w:color="auto" w:fill="FFFFFF"/>
        </w:rPr>
        <w:t xml:space="preserve"> an increased </w:t>
      </w:r>
      <w:r w:rsidR="00875CAC" w:rsidRPr="00F03F55">
        <w:rPr>
          <w:color w:val="000000" w:themeColor="text1"/>
        </w:rPr>
        <w:t>PM</w:t>
      </w:r>
      <w:r w:rsidR="00875CAC" w:rsidRPr="00F03F55">
        <w:rPr>
          <w:color w:val="000000" w:themeColor="text1"/>
          <w:vertAlign w:val="subscript"/>
        </w:rPr>
        <w:t xml:space="preserve">2.5 </w:t>
      </w:r>
      <w:r w:rsidR="00875CAC" w:rsidRPr="00F03F55">
        <w:rPr>
          <w:color w:val="000000" w:themeColor="text1"/>
          <w:shd w:val="clear" w:color="auto" w:fill="FFFFFF"/>
        </w:rPr>
        <w:t xml:space="preserve">concentration </w:t>
      </w:r>
      <w:r w:rsidR="00875CAC" w:rsidRPr="00F03F55">
        <w:rPr>
          <w:color w:val="000000" w:themeColor="text1"/>
        </w:rPr>
        <w:t xml:space="preserve">by about </w:t>
      </w:r>
      <w:r w:rsidR="00875CAC" w:rsidRPr="00F03F55">
        <w:rPr>
          <w:color w:val="000000" w:themeColor="text1"/>
          <w:shd w:val="clear" w:color="auto" w:fill="FFFFFF"/>
        </w:rPr>
        <w:t>.</w:t>
      </w:r>
      <w:r w:rsidR="00787DC4" w:rsidRPr="00F03F55">
        <w:rPr>
          <w:color w:val="000000" w:themeColor="text1"/>
          <w:shd w:val="clear" w:color="auto" w:fill="FFFFFF"/>
        </w:rPr>
        <w:t>574</w:t>
      </w:r>
      <w:r w:rsidR="00875CAC" w:rsidRPr="00F03F55">
        <w:rPr>
          <w:color w:val="000000" w:themeColor="text1"/>
          <w:shd w:val="clear" w:color="auto" w:fill="FFFFFF"/>
        </w:rPr>
        <w:t xml:space="preserve"> </w:t>
      </w:r>
      <w:r w:rsidR="00875CAC" w:rsidRPr="00F03F55">
        <w:rPr>
          <w:color w:val="000000" w:themeColor="text1"/>
        </w:rPr>
        <w:t>µg/m</w:t>
      </w:r>
      <w:r w:rsidR="00875CAC" w:rsidRPr="00F03F55">
        <w:rPr>
          <w:color w:val="000000" w:themeColor="text1"/>
          <w:vertAlign w:val="superscript"/>
        </w:rPr>
        <w:t>3</w:t>
      </w:r>
      <w:r w:rsidR="00427E89" w:rsidRPr="00F03F55">
        <w:rPr>
          <w:color w:val="000000" w:themeColor="text1"/>
        </w:rPr>
        <w:t xml:space="preserve"> </w:t>
      </w:r>
      <w:r w:rsidR="00B02FF2" w:rsidRPr="00F03F55">
        <w:rPr>
          <w:color w:val="000000" w:themeColor="text1"/>
          <w:shd w:val="clear" w:color="auto" w:fill="FFFFFF"/>
        </w:rPr>
        <w:t>(</w:t>
      </w:r>
      <w:r w:rsidR="00A94BD9" w:rsidRPr="00F03F55">
        <w:rPr>
          <w:color w:val="000000" w:themeColor="text1"/>
        </w:rPr>
        <w:t>95% confidence interval [.</w:t>
      </w:r>
      <w:r w:rsidR="00787DC4" w:rsidRPr="00F03F55">
        <w:rPr>
          <w:color w:val="000000" w:themeColor="text1"/>
        </w:rPr>
        <w:t>066</w:t>
      </w:r>
      <w:r w:rsidR="00A94BD9" w:rsidRPr="00F03F55">
        <w:rPr>
          <w:color w:val="000000" w:themeColor="text1"/>
        </w:rPr>
        <w:t xml:space="preserve">, </w:t>
      </w:r>
      <w:r w:rsidR="00657FE8" w:rsidRPr="00F03F55">
        <w:rPr>
          <w:color w:val="000000" w:themeColor="text1"/>
        </w:rPr>
        <w:t>1.</w:t>
      </w:r>
      <w:r w:rsidR="00787DC4" w:rsidRPr="00F03F55">
        <w:rPr>
          <w:color w:val="000000" w:themeColor="text1"/>
        </w:rPr>
        <w:t>082</w:t>
      </w:r>
      <w:r w:rsidR="00A94BD9" w:rsidRPr="00F03F55">
        <w:rPr>
          <w:color w:val="000000" w:themeColor="text1"/>
        </w:rPr>
        <w:t xml:space="preserve">], </w:t>
      </w:r>
      <w:r w:rsidR="00B02FF2" w:rsidRPr="00F03F55">
        <w:rPr>
          <w:i/>
          <w:color w:val="000000" w:themeColor="text1"/>
          <w:shd w:val="clear" w:color="auto" w:fill="FFFFFF"/>
        </w:rPr>
        <w:t>p</w:t>
      </w:r>
      <w:r w:rsidR="00B02FF2" w:rsidRPr="00F03F55">
        <w:rPr>
          <w:color w:val="000000" w:themeColor="text1"/>
          <w:shd w:val="clear" w:color="auto" w:fill="FFFFFF"/>
        </w:rPr>
        <w:t xml:space="preserve"> = .</w:t>
      </w:r>
      <w:r w:rsidR="00427E89" w:rsidRPr="00F03F55">
        <w:rPr>
          <w:color w:val="000000" w:themeColor="text1"/>
          <w:shd w:val="clear" w:color="auto" w:fill="FFFFFF"/>
        </w:rPr>
        <w:t>0</w:t>
      </w:r>
      <w:r w:rsidR="00787DC4" w:rsidRPr="00F03F55">
        <w:rPr>
          <w:color w:val="000000" w:themeColor="text1"/>
          <w:shd w:val="clear" w:color="auto" w:fill="FFFFFF"/>
        </w:rPr>
        <w:t>27</w:t>
      </w:r>
      <w:r w:rsidR="00427E89" w:rsidRPr="00F03F55">
        <w:rPr>
          <w:color w:val="000000" w:themeColor="text1"/>
          <w:shd w:val="clear" w:color="auto" w:fill="FFFFFF"/>
        </w:rPr>
        <w:t xml:space="preserve">). </w:t>
      </w:r>
      <w:r w:rsidR="00875CAC" w:rsidRPr="00F03F55">
        <w:rPr>
          <w:color w:val="000000" w:themeColor="text1"/>
          <w:shd w:val="clear" w:color="auto" w:fill="FFFFFF"/>
        </w:rPr>
        <w:t xml:space="preserve">This means that </w:t>
      </w:r>
      <w:r w:rsidR="00330DAD" w:rsidRPr="00F03F55">
        <w:rPr>
          <w:color w:val="000000" w:themeColor="text1"/>
        </w:rPr>
        <w:t>PM</w:t>
      </w:r>
      <w:r w:rsidR="00330DAD" w:rsidRPr="00F03F55">
        <w:rPr>
          <w:color w:val="000000" w:themeColor="text1"/>
          <w:vertAlign w:val="subscript"/>
        </w:rPr>
        <w:t>2.</w:t>
      </w:r>
      <w:r w:rsidR="003F7098" w:rsidRPr="00F03F55">
        <w:rPr>
          <w:color w:val="000000" w:themeColor="text1"/>
          <w:vertAlign w:val="subscript"/>
        </w:rPr>
        <w:t>5</w:t>
      </w:r>
      <w:r w:rsidR="003F7098" w:rsidRPr="00F03F55">
        <w:rPr>
          <w:color w:val="000000" w:themeColor="text1"/>
          <w:shd w:val="clear" w:color="auto" w:fill="FFFFFF"/>
        </w:rPr>
        <w:t xml:space="preserve"> is</w:t>
      </w:r>
      <w:r w:rsidR="00B160DB" w:rsidRPr="00F03F55">
        <w:rPr>
          <w:color w:val="000000" w:themeColor="text1"/>
          <w:shd w:val="clear" w:color="auto" w:fill="FFFFFF"/>
        </w:rPr>
        <w:t xml:space="preserve"> about</w:t>
      </w:r>
      <w:r w:rsidR="003F7098" w:rsidRPr="00F03F55">
        <w:rPr>
          <w:color w:val="000000" w:themeColor="text1"/>
          <w:shd w:val="clear" w:color="auto" w:fill="FFFFFF"/>
        </w:rPr>
        <w:t xml:space="preserve"> </w:t>
      </w:r>
      <w:r w:rsidR="00787DC4" w:rsidRPr="00F03F55">
        <w:rPr>
          <w:color w:val="000000" w:themeColor="text1"/>
          <w:shd w:val="clear" w:color="auto" w:fill="FFFFFF"/>
        </w:rPr>
        <w:t>6.5</w:t>
      </w:r>
      <w:r w:rsidR="003F7098" w:rsidRPr="00F03F55">
        <w:rPr>
          <w:color w:val="000000" w:themeColor="text1"/>
          <w:shd w:val="clear" w:color="auto" w:fill="FFFFFF"/>
        </w:rPr>
        <w:t>% higher</w:t>
      </w:r>
      <w:r w:rsidR="00330DAD" w:rsidRPr="00F03F55">
        <w:rPr>
          <w:color w:val="000000" w:themeColor="text1"/>
        </w:rPr>
        <w:t xml:space="preserve"> in </w:t>
      </w:r>
      <w:r w:rsidR="00427E89" w:rsidRPr="00F03F55">
        <w:rPr>
          <w:color w:val="000000" w:themeColor="text1"/>
          <w:shd w:val="clear" w:color="auto" w:fill="FFFFFF"/>
        </w:rPr>
        <w:t xml:space="preserve">counties with TDJC facilities </w:t>
      </w:r>
      <w:r w:rsidR="00330DAD" w:rsidRPr="00F03F55">
        <w:rPr>
          <w:color w:val="000000" w:themeColor="text1"/>
          <w:shd w:val="clear" w:color="auto" w:fill="FFFFFF"/>
        </w:rPr>
        <w:t xml:space="preserve">than </w:t>
      </w:r>
      <w:r w:rsidR="00330DAD" w:rsidRPr="00F03F55">
        <w:rPr>
          <w:color w:val="000000" w:themeColor="text1"/>
        </w:rPr>
        <w:t xml:space="preserve">in counties without TDCJ facilities. </w:t>
      </w:r>
      <w:r w:rsidR="004C22E7" w:rsidRPr="00F03F55">
        <w:rPr>
          <w:color w:val="000000" w:themeColor="text1"/>
        </w:rPr>
        <w:t>Smaller county l</w:t>
      </w:r>
      <w:r w:rsidR="00787DC4" w:rsidRPr="00F03F55">
        <w:rPr>
          <w:color w:val="000000" w:themeColor="text1"/>
        </w:rPr>
        <w:t xml:space="preserve">and area (95% confidence interval [-.001, -.000], p &lt; .001), </w:t>
      </w:r>
      <w:r w:rsidR="004C22E7" w:rsidRPr="00F03F55">
        <w:rPr>
          <w:color w:val="000000" w:themeColor="text1"/>
        </w:rPr>
        <w:t xml:space="preserve">a lower </w:t>
      </w:r>
      <w:r w:rsidR="00787DC4" w:rsidRPr="00F03F55">
        <w:rPr>
          <w:color w:val="000000" w:themeColor="text1"/>
        </w:rPr>
        <w:t xml:space="preserve">percent </w:t>
      </w:r>
      <w:r w:rsidR="004C22E7" w:rsidRPr="00F03F55">
        <w:rPr>
          <w:color w:val="000000" w:themeColor="text1"/>
        </w:rPr>
        <w:t xml:space="preserve">of </w:t>
      </w:r>
      <w:r w:rsidR="00787DC4" w:rsidRPr="00F03F55">
        <w:rPr>
          <w:color w:val="000000" w:themeColor="text1"/>
        </w:rPr>
        <w:t xml:space="preserve">industry employees (95% confidence interval [-.073, -.032], p &lt; .001), and </w:t>
      </w:r>
      <w:r w:rsidR="004C22E7" w:rsidRPr="00F03F55">
        <w:rPr>
          <w:color w:val="000000" w:themeColor="text1"/>
        </w:rPr>
        <w:t>having a lower</w:t>
      </w:r>
      <w:r w:rsidR="00787DC4" w:rsidRPr="00F03F55">
        <w:rPr>
          <w:color w:val="000000" w:themeColor="text1"/>
        </w:rPr>
        <w:t xml:space="preserve"> percentage of non-Hispanic White residents (95% confidence interval [-.0</w:t>
      </w:r>
      <w:r w:rsidR="0045497D" w:rsidRPr="00F03F55">
        <w:rPr>
          <w:color w:val="000000" w:themeColor="text1"/>
        </w:rPr>
        <w:t>20</w:t>
      </w:r>
      <w:r w:rsidR="00787DC4" w:rsidRPr="00F03F55">
        <w:rPr>
          <w:color w:val="000000" w:themeColor="text1"/>
        </w:rPr>
        <w:t xml:space="preserve">, </w:t>
      </w:r>
      <w:r w:rsidR="0045497D" w:rsidRPr="00F03F55">
        <w:rPr>
          <w:color w:val="000000" w:themeColor="text1"/>
        </w:rPr>
        <w:t>-</w:t>
      </w:r>
      <w:r w:rsidR="00787DC4" w:rsidRPr="00F03F55">
        <w:rPr>
          <w:color w:val="000000" w:themeColor="text1"/>
        </w:rPr>
        <w:t>.00</w:t>
      </w:r>
      <w:r w:rsidR="0045497D" w:rsidRPr="00F03F55">
        <w:rPr>
          <w:color w:val="000000" w:themeColor="text1"/>
        </w:rPr>
        <w:t>4</w:t>
      </w:r>
      <w:r w:rsidR="00787DC4" w:rsidRPr="00F03F55">
        <w:rPr>
          <w:color w:val="000000" w:themeColor="text1"/>
        </w:rPr>
        <w:t xml:space="preserve">], p = </w:t>
      </w:r>
      <w:r w:rsidR="0045497D" w:rsidRPr="00F03F55">
        <w:rPr>
          <w:color w:val="000000" w:themeColor="text1"/>
        </w:rPr>
        <w:t>.002</w:t>
      </w:r>
      <w:r w:rsidR="00787DC4" w:rsidRPr="00F03F55">
        <w:rPr>
          <w:color w:val="000000" w:themeColor="text1"/>
        </w:rPr>
        <w:t>) is also significantly associated with</w:t>
      </w:r>
      <w:r w:rsidR="004C22E7" w:rsidRPr="00F03F55">
        <w:rPr>
          <w:color w:val="000000" w:themeColor="text1"/>
        </w:rPr>
        <w:t xml:space="preserve"> increased</w:t>
      </w:r>
      <w:r w:rsidR="00787DC4" w:rsidRPr="00F03F55">
        <w:rPr>
          <w:color w:val="000000" w:themeColor="text1"/>
        </w:rPr>
        <w:t xml:space="preserve"> PM</w:t>
      </w:r>
      <w:r w:rsidR="00787DC4" w:rsidRPr="00F03F55">
        <w:rPr>
          <w:color w:val="000000" w:themeColor="text1"/>
          <w:vertAlign w:val="subscript"/>
        </w:rPr>
        <w:t>2.5</w:t>
      </w:r>
      <w:r w:rsidR="00787DC4" w:rsidRPr="00F03F55">
        <w:rPr>
          <w:color w:val="000000" w:themeColor="text1"/>
        </w:rPr>
        <w:t xml:space="preserve">. </w:t>
      </w:r>
      <w:r w:rsidR="0045497D" w:rsidRPr="00F03F55">
        <w:rPr>
          <w:color w:val="000000" w:themeColor="text1"/>
        </w:rPr>
        <w:t>Median household income (95% confidence interval [-.005, .018], p = .243),</w:t>
      </w:r>
      <w:r w:rsidR="002B19B4" w:rsidRPr="00F03F55">
        <w:rPr>
          <w:color w:val="000000" w:themeColor="text1"/>
        </w:rPr>
        <w:t xml:space="preserve"> </w:t>
      </w:r>
      <w:r w:rsidR="0045497D" w:rsidRPr="00F03F55">
        <w:rPr>
          <w:color w:val="000000" w:themeColor="text1"/>
        </w:rPr>
        <w:t>p</w:t>
      </w:r>
      <w:r w:rsidR="0024174A" w:rsidRPr="00F03F55">
        <w:rPr>
          <w:color w:val="000000" w:themeColor="text1"/>
        </w:rPr>
        <w:t>opulation density</w:t>
      </w:r>
      <w:r w:rsidR="0045497D" w:rsidRPr="00F03F55">
        <w:rPr>
          <w:color w:val="000000" w:themeColor="text1"/>
        </w:rPr>
        <w:t xml:space="preserve">, </w:t>
      </w:r>
      <w:r w:rsidR="0024174A" w:rsidRPr="00F03F55">
        <w:rPr>
          <w:color w:val="000000" w:themeColor="text1"/>
        </w:rPr>
        <w:t>(</w:t>
      </w:r>
      <w:r w:rsidR="00A94BD9" w:rsidRPr="00F03F55">
        <w:rPr>
          <w:color w:val="000000" w:themeColor="text1"/>
        </w:rPr>
        <w:t>95% confidence interval [</w:t>
      </w:r>
      <w:r w:rsidR="0045497D" w:rsidRPr="00F03F55">
        <w:rPr>
          <w:color w:val="000000" w:themeColor="text1"/>
        </w:rPr>
        <w:t>-.322</w:t>
      </w:r>
      <w:r w:rsidR="00A94BD9" w:rsidRPr="00F03F55">
        <w:rPr>
          <w:color w:val="000000" w:themeColor="text1"/>
        </w:rPr>
        <w:t>, .</w:t>
      </w:r>
      <w:r w:rsidR="0045497D" w:rsidRPr="00F03F55">
        <w:rPr>
          <w:color w:val="000000" w:themeColor="text1"/>
        </w:rPr>
        <w:t>632</w:t>
      </w:r>
      <w:r w:rsidR="00A94BD9" w:rsidRPr="00F03F55">
        <w:rPr>
          <w:color w:val="000000" w:themeColor="text1"/>
        </w:rPr>
        <w:t xml:space="preserve">], </w:t>
      </w:r>
      <w:r w:rsidR="0024174A" w:rsidRPr="00F03F55">
        <w:rPr>
          <w:color w:val="000000" w:themeColor="text1"/>
        </w:rPr>
        <w:t>p = .</w:t>
      </w:r>
      <w:r w:rsidR="0045497D" w:rsidRPr="00F03F55">
        <w:rPr>
          <w:color w:val="000000" w:themeColor="text1"/>
        </w:rPr>
        <w:t>523</w:t>
      </w:r>
      <w:r w:rsidR="0024174A" w:rsidRPr="00F03F55">
        <w:rPr>
          <w:color w:val="000000" w:themeColor="text1"/>
        </w:rPr>
        <w:t>)</w:t>
      </w:r>
      <w:r w:rsidR="0045497D" w:rsidRPr="00F03F55">
        <w:rPr>
          <w:color w:val="000000" w:themeColor="text1"/>
        </w:rPr>
        <w:t xml:space="preserve">, and </w:t>
      </w:r>
      <w:r w:rsidR="00657FE8" w:rsidRPr="00F03F55">
        <w:rPr>
          <w:color w:val="000000" w:themeColor="text1"/>
        </w:rPr>
        <w:t xml:space="preserve">the </w:t>
      </w:r>
      <w:r w:rsidR="00435C9E" w:rsidRPr="00F03F55">
        <w:rPr>
          <w:color w:val="000000" w:themeColor="text1"/>
        </w:rPr>
        <w:t xml:space="preserve">percentage of </w:t>
      </w:r>
      <w:r w:rsidR="006F097F" w:rsidRPr="00F03F55">
        <w:rPr>
          <w:color w:val="000000" w:themeColor="text1"/>
        </w:rPr>
        <w:t xml:space="preserve">the </w:t>
      </w:r>
      <w:r w:rsidR="00435C9E" w:rsidRPr="00F03F55">
        <w:rPr>
          <w:color w:val="000000" w:themeColor="text1"/>
        </w:rPr>
        <w:t xml:space="preserve">county population </w:t>
      </w:r>
      <w:r w:rsidR="00462ED8" w:rsidRPr="00F03F55">
        <w:rPr>
          <w:color w:val="000000" w:themeColor="text1"/>
        </w:rPr>
        <w:t>who are</w:t>
      </w:r>
      <w:r w:rsidR="00435C9E" w:rsidRPr="00F03F55">
        <w:rPr>
          <w:color w:val="000000" w:themeColor="text1"/>
        </w:rPr>
        <w:t xml:space="preserve"> people in TDCJ facilities (95% confidence interval [-.0</w:t>
      </w:r>
      <w:r w:rsidR="0045497D" w:rsidRPr="00F03F55">
        <w:rPr>
          <w:color w:val="000000" w:themeColor="text1"/>
        </w:rPr>
        <w:t>88</w:t>
      </w:r>
      <w:r w:rsidR="00435C9E" w:rsidRPr="00F03F55">
        <w:rPr>
          <w:color w:val="000000" w:themeColor="text1"/>
        </w:rPr>
        <w:t>, .01</w:t>
      </w:r>
      <w:r w:rsidR="0045497D" w:rsidRPr="00F03F55">
        <w:rPr>
          <w:color w:val="000000" w:themeColor="text1"/>
        </w:rPr>
        <w:t>5</w:t>
      </w:r>
      <w:r w:rsidR="00435C9E" w:rsidRPr="00F03F55">
        <w:rPr>
          <w:color w:val="000000" w:themeColor="text1"/>
        </w:rPr>
        <w:t>], p = .16</w:t>
      </w:r>
      <w:r w:rsidR="0045497D" w:rsidRPr="00F03F55">
        <w:rPr>
          <w:color w:val="000000" w:themeColor="text1"/>
        </w:rPr>
        <w:t>1</w:t>
      </w:r>
      <w:r w:rsidR="00435C9E" w:rsidRPr="00F03F55">
        <w:rPr>
          <w:color w:val="000000" w:themeColor="text1"/>
        </w:rPr>
        <w:t>),</w:t>
      </w:r>
      <w:r w:rsidR="002B2C4B" w:rsidRPr="00F03F55">
        <w:rPr>
          <w:color w:val="000000" w:themeColor="text1"/>
        </w:rPr>
        <w:t xml:space="preserve"> </w:t>
      </w:r>
      <w:r w:rsidR="002B19B4" w:rsidRPr="00F03F55">
        <w:rPr>
          <w:color w:val="000000" w:themeColor="text1"/>
        </w:rPr>
        <w:t xml:space="preserve">are </w:t>
      </w:r>
      <w:r w:rsidR="002B2C4B" w:rsidRPr="00F03F55">
        <w:rPr>
          <w:color w:val="000000" w:themeColor="text1"/>
        </w:rPr>
        <w:t>not significantly associated with PM</w:t>
      </w:r>
      <w:r w:rsidR="002B2C4B" w:rsidRPr="00F03F55">
        <w:rPr>
          <w:color w:val="000000" w:themeColor="text1"/>
          <w:vertAlign w:val="subscript"/>
        </w:rPr>
        <w:t>2.5.</w:t>
      </w:r>
      <w:r w:rsidR="00A1295D" w:rsidRPr="00F03F55">
        <w:rPr>
          <w:color w:val="000000" w:themeColor="text1"/>
          <w:vertAlign w:val="subscript"/>
        </w:rPr>
        <w:t xml:space="preserve"> </w:t>
      </w:r>
      <w:r w:rsidR="00A1295D" w:rsidRPr="00F03F55">
        <w:rPr>
          <w:color w:val="000000" w:themeColor="text1"/>
        </w:rPr>
        <w:t>About 26% of the variability in PM</w:t>
      </w:r>
      <w:r w:rsidR="00A1295D" w:rsidRPr="00F03F55">
        <w:rPr>
          <w:color w:val="000000" w:themeColor="text1"/>
          <w:vertAlign w:val="subscript"/>
        </w:rPr>
        <w:t xml:space="preserve">2.5 </w:t>
      </w:r>
      <w:r w:rsidR="00A1295D" w:rsidRPr="00F03F55">
        <w:rPr>
          <w:color w:val="000000" w:themeColor="text1"/>
        </w:rPr>
        <w:t xml:space="preserve">is explained by the variables in presented in Table 2. </w:t>
      </w:r>
    </w:p>
    <w:p w14:paraId="739DE3FB" w14:textId="66AF190D" w:rsidR="00142604" w:rsidRPr="00F03F55" w:rsidRDefault="00142604" w:rsidP="00C30943">
      <w:pPr>
        <w:spacing w:line="480" w:lineRule="auto"/>
        <w:ind w:left="14" w:hanging="14"/>
        <w:jc w:val="center"/>
        <w:rPr>
          <w:bCs/>
          <w:color w:val="000000" w:themeColor="text1"/>
        </w:rPr>
      </w:pPr>
      <w:r w:rsidRPr="00F03F55">
        <w:rPr>
          <w:bCs/>
          <w:color w:val="000000" w:themeColor="text1"/>
        </w:rPr>
        <w:lastRenderedPageBreak/>
        <w:t>***Insert Table 2 About Here***</w:t>
      </w:r>
    </w:p>
    <w:p w14:paraId="6660E95A" w14:textId="3AE7DD6B" w:rsidR="0086575A" w:rsidRPr="00F03F55" w:rsidRDefault="0086575A" w:rsidP="00C30943">
      <w:pPr>
        <w:spacing w:line="480" w:lineRule="auto"/>
        <w:ind w:left="10" w:firstLine="710"/>
        <w:rPr>
          <w:color w:val="000000" w:themeColor="text1"/>
        </w:rPr>
      </w:pPr>
      <w:r w:rsidRPr="00F03F55">
        <w:rPr>
          <w:color w:val="000000" w:themeColor="text1"/>
        </w:rPr>
        <w:t>Table 3</w:t>
      </w:r>
      <w:r w:rsidR="0065001D" w:rsidRPr="00F03F55">
        <w:rPr>
          <w:color w:val="000000" w:themeColor="text1"/>
        </w:rPr>
        <w:t>, which is set up identical to Table 2,</w:t>
      </w:r>
      <w:r w:rsidRPr="00F03F55">
        <w:rPr>
          <w:color w:val="000000" w:themeColor="text1"/>
        </w:rPr>
        <w:t xml:space="preserve"> presents the results of the OLS regression showing </w:t>
      </w:r>
      <w:r w:rsidR="00810F06" w:rsidRPr="00F03F55">
        <w:rPr>
          <w:color w:val="000000" w:themeColor="text1"/>
        </w:rPr>
        <w:t>PM</w:t>
      </w:r>
      <w:r w:rsidR="00810F06" w:rsidRPr="00F03F55">
        <w:rPr>
          <w:color w:val="000000" w:themeColor="text1"/>
          <w:vertAlign w:val="subscript"/>
        </w:rPr>
        <w:t>2.5</w:t>
      </w:r>
      <w:r w:rsidR="00810F06" w:rsidRPr="00F03F55">
        <w:rPr>
          <w:color w:val="000000" w:themeColor="text1"/>
        </w:rPr>
        <w:t xml:space="preserve"> concentrations in counties with TDCJ prisons relative to counties without </w:t>
      </w:r>
      <w:r w:rsidR="00904143" w:rsidRPr="00F03F55">
        <w:rPr>
          <w:color w:val="000000" w:themeColor="text1"/>
        </w:rPr>
        <w:t>TDCJ prisons</w:t>
      </w:r>
      <w:r w:rsidR="00431102" w:rsidRPr="00F03F55">
        <w:rPr>
          <w:color w:val="000000" w:themeColor="text1"/>
        </w:rPr>
        <w:t xml:space="preserve">. </w:t>
      </w:r>
      <w:r w:rsidR="00BC363B" w:rsidRPr="00F03F55">
        <w:rPr>
          <w:color w:val="000000" w:themeColor="text1"/>
          <w:shd w:val="clear" w:color="auto" w:fill="FFFFFF"/>
        </w:rPr>
        <w:t xml:space="preserve">The results indicate that, compared to counties without TDCJ prisons, counties that have one or more TDCJ prisons have an increased </w:t>
      </w:r>
      <w:r w:rsidR="00BC363B" w:rsidRPr="00F03F55">
        <w:rPr>
          <w:color w:val="000000" w:themeColor="text1"/>
        </w:rPr>
        <w:t>PM</w:t>
      </w:r>
      <w:r w:rsidR="00BC363B" w:rsidRPr="00F03F55">
        <w:rPr>
          <w:color w:val="000000" w:themeColor="text1"/>
          <w:vertAlign w:val="subscript"/>
        </w:rPr>
        <w:t xml:space="preserve">2.5 </w:t>
      </w:r>
      <w:r w:rsidR="00BC363B" w:rsidRPr="00F03F55">
        <w:rPr>
          <w:color w:val="000000" w:themeColor="text1"/>
          <w:shd w:val="clear" w:color="auto" w:fill="FFFFFF"/>
        </w:rPr>
        <w:t xml:space="preserve">concentration </w:t>
      </w:r>
      <w:r w:rsidR="00BC363B" w:rsidRPr="00F03F55">
        <w:rPr>
          <w:color w:val="000000" w:themeColor="text1"/>
        </w:rPr>
        <w:t xml:space="preserve">by about </w:t>
      </w:r>
      <w:r w:rsidR="00BC363B" w:rsidRPr="00F03F55">
        <w:rPr>
          <w:color w:val="000000" w:themeColor="text1"/>
          <w:shd w:val="clear" w:color="auto" w:fill="FFFFFF"/>
        </w:rPr>
        <w:t>.</w:t>
      </w:r>
      <w:r w:rsidR="004C22E7" w:rsidRPr="00F03F55">
        <w:rPr>
          <w:color w:val="000000" w:themeColor="text1"/>
          <w:shd w:val="clear" w:color="auto" w:fill="FFFFFF"/>
        </w:rPr>
        <w:t>74</w:t>
      </w:r>
      <w:r w:rsidR="00BC363B" w:rsidRPr="00F03F55">
        <w:rPr>
          <w:color w:val="000000" w:themeColor="text1"/>
          <w:shd w:val="clear" w:color="auto" w:fill="FFFFFF"/>
        </w:rPr>
        <w:t xml:space="preserve">8 </w:t>
      </w:r>
      <w:r w:rsidR="00BC363B" w:rsidRPr="00F03F55">
        <w:rPr>
          <w:color w:val="000000" w:themeColor="text1"/>
        </w:rPr>
        <w:t>µg/m</w:t>
      </w:r>
      <w:r w:rsidR="00BC363B" w:rsidRPr="00F03F55">
        <w:rPr>
          <w:color w:val="000000" w:themeColor="text1"/>
          <w:vertAlign w:val="superscript"/>
        </w:rPr>
        <w:t>3</w:t>
      </w:r>
      <w:r w:rsidR="00BC363B" w:rsidRPr="00F03F55">
        <w:rPr>
          <w:color w:val="000000" w:themeColor="text1"/>
        </w:rPr>
        <w:t xml:space="preserve"> </w:t>
      </w:r>
      <w:r w:rsidR="00BC363B" w:rsidRPr="00F03F55">
        <w:rPr>
          <w:color w:val="000000" w:themeColor="text1"/>
          <w:shd w:val="clear" w:color="auto" w:fill="FFFFFF"/>
        </w:rPr>
        <w:t>(</w:t>
      </w:r>
      <w:r w:rsidR="00BC363B" w:rsidRPr="00F03F55">
        <w:rPr>
          <w:color w:val="000000" w:themeColor="text1"/>
        </w:rPr>
        <w:t>95% confidence interval [.</w:t>
      </w:r>
      <w:r w:rsidR="004C22E7" w:rsidRPr="00F03F55">
        <w:rPr>
          <w:color w:val="000000" w:themeColor="text1"/>
        </w:rPr>
        <w:t>190</w:t>
      </w:r>
      <w:r w:rsidR="00BC363B" w:rsidRPr="00F03F55">
        <w:rPr>
          <w:color w:val="000000" w:themeColor="text1"/>
        </w:rPr>
        <w:t>, 1.</w:t>
      </w:r>
      <w:r w:rsidR="004C22E7" w:rsidRPr="00F03F55">
        <w:rPr>
          <w:color w:val="000000" w:themeColor="text1"/>
        </w:rPr>
        <w:t>306</w:t>
      </w:r>
      <w:r w:rsidR="00BC363B" w:rsidRPr="00F03F55">
        <w:rPr>
          <w:color w:val="000000" w:themeColor="text1"/>
        </w:rPr>
        <w:t xml:space="preserve">], </w:t>
      </w:r>
      <w:r w:rsidR="00BC363B" w:rsidRPr="00F03F55">
        <w:rPr>
          <w:i/>
          <w:color w:val="000000" w:themeColor="text1"/>
          <w:shd w:val="clear" w:color="auto" w:fill="FFFFFF"/>
        </w:rPr>
        <w:t>p</w:t>
      </w:r>
      <w:r w:rsidR="00BC363B" w:rsidRPr="00F03F55">
        <w:rPr>
          <w:color w:val="000000" w:themeColor="text1"/>
          <w:shd w:val="clear" w:color="auto" w:fill="FFFFFF"/>
        </w:rPr>
        <w:t xml:space="preserve"> = .00</w:t>
      </w:r>
      <w:r w:rsidR="004C22E7" w:rsidRPr="00F03F55">
        <w:rPr>
          <w:color w:val="000000" w:themeColor="text1"/>
          <w:shd w:val="clear" w:color="auto" w:fill="FFFFFF"/>
        </w:rPr>
        <w:t>9</w:t>
      </w:r>
      <w:r w:rsidR="00BC363B" w:rsidRPr="00F03F55">
        <w:rPr>
          <w:color w:val="000000" w:themeColor="text1"/>
          <w:shd w:val="clear" w:color="auto" w:fill="FFFFFF"/>
        </w:rPr>
        <w:t xml:space="preserve">). This means that </w:t>
      </w:r>
      <w:r w:rsidR="00BC363B" w:rsidRPr="00F03F55">
        <w:rPr>
          <w:color w:val="000000" w:themeColor="text1"/>
        </w:rPr>
        <w:t>PM</w:t>
      </w:r>
      <w:r w:rsidR="00BC363B" w:rsidRPr="00F03F55">
        <w:rPr>
          <w:color w:val="000000" w:themeColor="text1"/>
          <w:vertAlign w:val="subscript"/>
        </w:rPr>
        <w:t>2.5</w:t>
      </w:r>
      <w:r w:rsidR="00BC363B" w:rsidRPr="00F03F55">
        <w:rPr>
          <w:color w:val="000000" w:themeColor="text1"/>
          <w:shd w:val="clear" w:color="auto" w:fill="FFFFFF"/>
        </w:rPr>
        <w:t xml:space="preserve"> is about </w:t>
      </w:r>
      <w:r w:rsidR="004C22E7" w:rsidRPr="00F03F55">
        <w:rPr>
          <w:color w:val="000000" w:themeColor="text1"/>
          <w:shd w:val="clear" w:color="auto" w:fill="FFFFFF"/>
        </w:rPr>
        <w:t>8</w:t>
      </w:r>
      <w:r w:rsidR="00BC363B" w:rsidRPr="00F03F55">
        <w:rPr>
          <w:color w:val="000000" w:themeColor="text1"/>
          <w:shd w:val="clear" w:color="auto" w:fill="FFFFFF"/>
        </w:rPr>
        <w:t>.</w:t>
      </w:r>
      <w:r w:rsidR="004C22E7" w:rsidRPr="00F03F55">
        <w:rPr>
          <w:color w:val="000000" w:themeColor="text1"/>
          <w:shd w:val="clear" w:color="auto" w:fill="FFFFFF"/>
        </w:rPr>
        <w:t>4</w:t>
      </w:r>
      <w:r w:rsidR="00BC363B" w:rsidRPr="00F03F55">
        <w:rPr>
          <w:color w:val="000000" w:themeColor="text1"/>
          <w:shd w:val="clear" w:color="auto" w:fill="FFFFFF"/>
        </w:rPr>
        <w:t>% higher</w:t>
      </w:r>
      <w:r w:rsidR="00BC363B" w:rsidRPr="00F03F55">
        <w:rPr>
          <w:color w:val="000000" w:themeColor="text1"/>
        </w:rPr>
        <w:t xml:space="preserve"> in </w:t>
      </w:r>
      <w:r w:rsidR="00BC363B" w:rsidRPr="00F03F55">
        <w:rPr>
          <w:color w:val="000000" w:themeColor="text1"/>
          <w:shd w:val="clear" w:color="auto" w:fill="FFFFFF"/>
        </w:rPr>
        <w:t xml:space="preserve">counties with TDJC </w:t>
      </w:r>
      <w:r w:rsidR="004C22E7" w:rsidRPr="00F03F55">
        <w:rPr>
          <w:color w:val="000000" w:themeColor="text1"/>
          <w:shd w:val="clear" w:color="auto" w:fill="FFFFFF"/>
        </w:rPr>
        <w:t>prisons</w:t>
      </w:r>
      <w:r w:rsidR="00BC363B" w:rsidRPr="00F03F55">
        <w:rPr>
          <w:color w:val="000000" w:themeColor="text1"/>
          <w:shd w:val="clear" w:color="auto" w:fill="FFFFFF"/>
        </w:rPr>
        <w:t xml:space="preserve"> than </w:t>
      </w:r>
      <w:r w:rsidR="00BC363B" w:rsidRPr="00F03F55">
        <w:rPr>
          <w:color w:val="000000" w:themeColor="text1"/>
        </w:rPr>
        <w:t xml:space="preserve">in counties without TDCJ </w:t>
      </w:r>
      <w:r w:rsidR="004C22E7" w:rsidRPr="00F03F55">
        <w:rPr>
          <w:color w:val="000000" w:themeColor="text1"/>
        </w:rPr>
        <w:t>prisons</w:t>
      </w:r>
      <w:r w:rsidR="00BC363B" w:rsidRPr="00F03F55">
        <w:rPr>
          <w:color w:val="000000" w:themeColor="text1"/>
        </w:rPr>
        <w:t xml:space="preserve">. </w:t>
      </w:r>
      <w:r w:rsidR="001C730D" w:rsidRPr="00F03F55">
        <w:rPr>
          <w:color w:val="000000" w:themeColor="text1"/>
        </w:rPr>
        <w:t>Smaller county l</w:t>
      </w:r>
      <w:r w:rsidR="004C22E7" w:rsidRPr="00F03F55">
        <w:rPr>
          <w:color w:val="000000" w:themeColor="text1"/>
        </w:rPr>
        <w:t>and area</w:t>
      </w:r>
      <w:r w:rsidR="001C730D" w:rsidRPr="00F03F55">
        <w:rPr>
          <w:color w:val="000000" w:themeColor="text1"/>
        </w:rPr>
        <w:t xml:space="preserve"> (95% confidence interval [-.001, -.000], p &lt; .001)</w:t>
      </w:r>
      <w:r w:rsidR="004C22E7" w:rsidRPr="00F03F55">
        <w:rPr>
          <w:color w:val="000000" w:themeColor="text1"/>
        </w:rPr>
        <w:t xml:space="preserve">, </w:t>
      </w:r>
      <w:r w:rsidR="001C730D" w:rsidRPr="00F03F55">
        <w:rPr>
          <w:color w:val="000000" w:themeColor="text1"/>
        </w:rPr>
        <w:t xml:space="preserve">a lower </w:t>
      </w:r>
      <w:r w:rsidR="004C22E7" w:rsidRPr="00F03F55">
        <w:rPr>
          <w:color w:val="000000" w:themeColor="text1"/>
        </w:rPr>
        <w:t xml:space="preserve">percent </w:t>
      </w:r>
      <w:r w:rsidR="001C730D" w:rsidRPr="00F03F55">
        <w:rPr>
          <w:color w:val="000000" w:themeColor="text1"/>
        </w:rPr>
        <w:t xml:space="preserve">of </w:t>
      </w:r>
      <w:r w:rsidR="004C22E7" w:rsidRPr="00F03F55">
        <w:rPr>
          <w:color w:val="000000" w:themeColor="text1"/>
        </w:rPr>
        <w:t>industry employees</w:t>
      </w:r>
      <w:r w:rsidR="001C730D" w:rsidRPr="00F03F55">
        <w:rPr>
          <w:color w:val="000000" w:themeColor="text1"/>
        </w:rPr>
        <w:t xml:space="preserve"> (95% confidence interval [-.073, -.032], p &lt; .001)</w:t>
      </w:r>
      <w:r w:rsidR="004C22E7" w:rsidRPr="00F03F55">
        <w:rPr>
          <w:color w:val="000000" w:themeColor="text1"/>
        </w:rPr>
        <w:t xml:space="preserve">, and </w:t>
      </w:r>
      <w:r w:rsidR="001C730D" w:rsidRPr="00F03F55">
        <w:rPr>
          <w:color w:val="000000" w:themeColor="text1"/>
        </w:rPr>
        <w:t>having a lower</w:t>
      </w:r>
      <w:r w:rsidR="004C22E7" w:rsidRPr="00F03F55">
        <w:rPr>
          <w:color w:val="000000" w:themeColor="text1"/>
        </w:rPr>
        <w:t xml:space="preserve"> percentage of non-Hispanic White residents (95% confidence interval [-.0</w:t>
      </w:r>
      <w:r w:rsidR="001C730D" w:rsidRPr="00F03F55">
        <w:rPr>
          <w:color w:val="000000" w:themeColor="text1"/>
        </w:rPr>
        <w:t>20</w:t>
      </w:r>
      <w:r w:rsidR="004C22E7" w:rsidRPr="00F03F55">
        <w:rPr>
          <w:color w:val="000000" w:themeColor="text1"/>
        </w:rPr>
        <w:t xml:space="preserve">, </w:t>
      </w:r>
      <w:r w:rsidR="001C730D" w:rsidRPr="00F03F55">
        <w:rPr>
          <w:color w:val="000000" w:themeColor="text1"/>
        </w:rPr>
        <w:t>-</w:t>
      </w:r>
      <w:r w:rsidR="004C22E7" w:rsidRPr="00F03F55">
        <w:rPr>
          <w:color w:val="000000" w:themeColor="text1"/>
        </w:rPr>
        <w:t>.00</w:t>
      </w:r>
      <w:r w:rsidR="001C730D" w:rsidRPr="00F03F55">
        <w:rPr>
          <w:color w:val="000000" w:themeColor="text1"/>
        </w:rPr>
        <w:t>4</w:t>
      </w:r>
      <w:r w:rsidR="004C22E7" w:rsidRPr="00F03F55">
        <w:rPr>
          <w:color w:val="000000" w:themeColor="text1"/>
        </w:rPr>
        <w:t>], p = .</w:t>
      </w:r>
      <w:r w:rsidR="001C730D" w:rsidRPr="00F03F55">
        <w:rPr>
          <w:color w:val="000000" w:themeColor="text1"/>
        </w:rPr>
        <w:t>00</w:t>
      </w:r>
      <w:r w:rsidR="004C22E7" w:rsidRPr="00F03F55">
        <w:rPr>
          <w:color w:val="000000" w:themeColor="text1"/>
        </w:rPr>
        <w:t>3) are also significantly associated with increased PM</w:t>
      </w:r>
      <w:r w:rsidR="004C22E7" w:rsidRPr="00F03F55">
        <w:rPr>
          <w:color w:val="000000" w:themeColor="text1"/>
          <w:vertAlign w:val="subscript"/>
        </w:rPr>
        <w:t>2.5</w:t>
      </w:r>
      <w:r w:rsidR="004C22E7" w:rsidRPr="00F03F55">
        <w:rPr>
          <w:color w:val="000000" w:themeColor="text1"/>
        </w:rPr>
        <w:t xml:space="preserve">. </w:t>
      </w:r>
      <w:r w:rsidR="001C730D" w:rsidRPr="00F03F55">
        <w:rPr>
          <w:color w:val="000000" w:themeColor="text1"/>
        </w:rPr>
        <w:t>median household income (95% confidence interval [-.006, .017], p = .371), p</w:t>
      </w:r>
      <w:r w:rsidR="004C22E7" w:rsidRPr="00F03F55">
        <w:rPr>
          <w:color w:val="000000" w:themeColor="text1"/>
        </w:rPr>
        <w:t>o</w:t>
      </w:r>
      <w:r w:rsidR="00BC363B" w:rsidRPr="00F03F55">
        <w:rPr>
          <w:color w:val="000000" w:themeColor="text1"/>
        </w:rPr>
        <w:t xml:space="preserve">pulation </w:t>
      </w:r>
      <w:r w:rsidR="001C730D" w:rsidRPr="00F03F55">
        <w:rPr>
          <w:color w:val="000000" w:themeColor="text1"/>
        </w:rPr>
        <w:t xml:space="preserve">density, </w:t>
      </w:r>
      <w:r w:rsidR="00BC363B" w:rsidRPr="00F03F55">
        <w:rPr>
          <w:color w:val="000000" w:themeColor="text1"/>
        </w:rPr>
        <w:t>(95% confidence interval [</w:t>
      </w:r>
      <w:r w:rsidR="001C730D" w:rsidRPr="00F03F55">
        <w:rPr>
          <w:color w:val="000000" w:themeColor="text1"/>
        </w:rPr>
        <w:t>-</w:t>
      </w:r>
      <w:r w:rsidR="00BC363B" w:rsidRPr="00F03F55">
        <w:rPr>
          <w:color w:val="000000" w:themeColor="text1"/>
        </w:rPr>
        <w:t>.</w:t>
      </w:r>
      <w:r w:rsidR="001C730D" w:rsidRPr="00F03F55">
        <w:rPr>
          <w:color w:val="000000" w:themeColor="text1"/>
        </w:rPr>
        <w:t>163</w:t>
      </w:r>
      <w:r w:rsidR="00BC363B" w:rsidRPr="00F03F55">
        <w:rPr>
          <w:color w:val="000000" w:themeColor="text1"/>
        </w:rPr>
        <w:t>, .</w:t>
      </w:r>
      <w:r w:rsidR="001C730D" w:rsidRPr="00F03F55">
        <w:rPr>
          <w:color w:val="000000" w:themeColor="text1"/>
        </w:rPr>
        <w:t>843</w:t>
      </w:r>
      <w:r w:rsidR="00BC363B" w:rsidRPr="00F03F55">
        <w:rPr>
          <w:color w:val="000000" w:themeColor="text1"/>
        </w:rPr>
        <w:t xml:space="preserve">], p </w:t>
      </w:r>
      <w:r w:rsidR="001C730D" w:rsidRPr="00F03F55">
        <w:rPr>
          <w:color w:val="000000" w:themeColor="text1"/>
        </w:rPr>
        <w:t>=</w:t>
      </w:r>
      <w:r w:rsidR="00BC363B" w:rsidRPr="00F03F55">
        <w:rPr>
          <w:color w:val="000000" w:themeColor="text1"/>
        </w:rPr>
        <w:t xml:space="preserve"> .</w:t>
      </w:r>
      <w:r w:rsidR="001C730D" w:rsidRPr="00F03F55">
        <w:rPr>
          <w:color w:val="000000" w:themeColor="text1"/>
        </w:rPr>
        <w:t>184</w:t>
      </w:r>
      <w:r w:rsidR="00BC363B" w:rsidRPr="00F03F55">
        <w:rPr>
          <w:color w:val="000000" w:themeColor="text1"/>
        </w:rPr>
        <w:t>)</w:t>
      </w:r>
      <w:r w:rsidR="001C730D" w:rsidRPr="00F03F55">
        <w:rPr>
          <w:color w:val="000000" w:themeColor="text1"/>
        </w:rPr>
        <w:t>,</w:t>
      </w:r>
      <w:r w:rsidR="00BC363B" w:rsidRPr="00F03F55">
        <w:rPr>
          <w:color w:val="000000" w:themeColor="text1"/>
        </w:rPr>
        <w:t xml:space="preserve"> </w:t>
      </w:r>
      <w:r w:rsidR="001C730D" w:rsidRPr="00F03F55">
        <w:rPr>
          <w:color w:val="000000" w:themeColor="text1"/>
        </w:rPr>
        <w:t xml:space="preserve">and </w:t>
      </w:r>
      <w:r w:rsidR="00BC363B" w:rsidRPr="00F03F55">
        <w:rPr>
          <w:color w:val="000000" w:themeColor="text1"/>
        </w:rPr>
        <w:t xml:space="preserve">the percentage of </w:t>
      </w:r>
      <w:r w:rsidR="006F097F" w:rsidRPr="00F03F55">
        <w:rPr>
          <w:color w:val="000000" w:themeColor="text1"/>
        </w:rPr>
        <w:t xml:space="preserve">the </w:t>
      </w:r>
      <w:r w:rsidR="00BC363B" w:rsidRPr="00F03F55">
        <w:rPr>
          <w:color w:val="000000" w:themeColor="text1"/>
        </w:rPr>
        <w:t>county population who are people in TDCJ facilities (95% confidence interval [</w:t>
      </w:r>
      <w:r w:rsidR="001C730D" w:rsidRPr="00F03F55">
        <w:rPr>
          <w:color w:val="000000" w:themeColor="text1"/>
        </w:rPr>
        <w:t>-</w:t>
      </w:r>
      <w:r w:rsidR="00BC363B" w:rsidRPr="00F03F55">
        <w:rPr>
          <w:color w:val="000000" w:themeColor="text1"/>
        </w:rPr>
        <w:t>.09</w:t>
      </w:r>
      <w:r w:rsidR="001C730D" w:rsidRPr="00F03F55">
        <w:rPr>
          <w:color w:val="000000" w:themeColor="text1"/>
        </w:rPr>
        <w:t>7</w:t>
      </w:r>
      <w:r w:rsidR="00BC363B" w:rsidRPr="00F03F55">
        <w:rPr>
          <w:color w:val="000000" w:themeColor="text1"/>
        </w:rPr>
        <w:t>, .0</w:t>
      </w:r>
      <w:r w:rsidR="007876CC" w:rsidRPr="00F03F55">
        <w:rPr>
          <w:color w:val="000000" w:themeColor="text1"/>
        </w:rPr>
        <w:t>0</w:t>
      </w:r>
      <w:r w:rsidR="001C730D" w:rsidRPr="00F03F55">
        <w:rPr>
          <w:color w:val="000000" w:themeColor="text1"/>
        </w:rPr>
        <w:t>7</w:t>
      </w:r>
      <w:r w:rsidR="00BC363B" w:rsidRPr="00F03F55">
        <w:rPr>
          <w:color w:val="000000" w:themeColor="text1"/>
        </w:rPr>
        <w:t>], p = .</w:t>
      </w:r>
      <w:r w:rsidR="001C730D" w:rsidRPr="00F03F55">
        <w:rPr>
          <w:color w:val="000000" w:themeColor="text1"/>
        </w:rPr>
        <w:t>091</w:t>
      </w:r>
      <w:r w:rsidR="00BC363B" w:rsidRPr="00F03F55">
        <w:rPr>
          <w:color w:val="000000" w:themeColor="text1"/>
        </w:rPr>
        <w:t xml:space="preserve">), </w:t>
      </w:r>
      <w:r w:rsidR="001C730D" w:rsidRPr="00F03F55">
        <w:rPr>
          <w:color w:val="000000" w:themeColor="text1"/>
        </w:rPr>
        <w:t>are</w:t>
      </w:r>
      <w:r w:rsidR="00BC363B" w:rsidRPr="00F03F55">
        <w:rPr>
          <w:color w:val="000000" w:themeColor="text1"/>
        </w:rPr>
        <w:t xml:space="preserve"> not significantly associated with PM</w:t>
      </w:r>
      <w:r w:rsidR="00BC363B" w:rsidRPr="00F03F55">
        <w:rPr>
          <w:color w:val="000000" w:themeColor="text1"/>
          <w:vertAlign w:val="subscript"/>
        </w:rPr>
        <w:t>2.5.</w:t>
      </w:r>
      <w:r w:rsidR="00A1295D" w:rsidRPr="00F03F55">
        <w:rPr>
          <w:color w:val="000000" w:themeColor="text1"/>
          <w:vertAlign w:val="subscript"/>
        </w:rPr>
        <w:t xml:space="preserve"> </w:t>
      </w:r>
      <w:r w:rsidR="00A1295D" w:rsidRPr="00F03F55">
        <w:rPr>
          <w:color w:val="000000" w:themeColor="text1"/>
        </w:rPr>
        <w:t>About 26% of the variability in PM</w:t>
      </w:r>
      <w:r w:rsidR="00A1295D" w:rsidRPr="00F03F55">
        <w:rPr>
          <w:color w:val="000000" w:themeColor="text1"/>
          <w:vertAlign w:val="subscript"/>
        </w:rPr>
        <w:t xml:space="preserve">2.5 </w:t>
      </w:r>
      <w:r w:rsidR="00A1295D" w:rsidRPr="00F03F55">
        <w:rPr>
          <w:color w:val="000000" w:themeColor="text1"/>
        </w:rPr>
        <w:t xml:space="preserve">is explained by the variables in presented in Table 3. </w:t>
      </w:r>
    </w:p>
    <w:p w14:paraId="1D2033C4" w14:textId="1989B53A" w:rsidR="0086575A" w:rsidRPr="00F03F55" w:rsidRDefault="0086575A" w:rsidP="00C30943">
      <w:pPr>
        <w:spacing w:line="480" w:lineRule="auto"/>
        <w:ind w:left="14" w:hanging="14"/>
        <w:jc w:val="center"/>
        <w:rPr>
          <w:bCs/>
          <w:color w:val="000000" w:themeColor="text1"/>
        </w:rPr>
      </w:pPr>
      <w:r w:rsidRPr="00F03F55">
        <w:rPr>
          <w:bCs/>
          <w:color w:val="000000" w:themeColor="text1"/>
        </w:rPr>
        <w:t>***Insert Table 3 About Here***</w:t>
      </w:r>
    </w:p>
    <w:p w14:paraId="567C7D1A" w14:textId="650E3926" w:rsidR="006F097F" w:rsidRPr="00F03F55" w:rsidRDefault="00810F06" w:rsidP="006F097F">
      <w:pPr>
        <w:spacing w:line="480" w:lineRule="auto"/>
        <w:ind w:left="10" w:firstLine="710"/>
        <w:rPr>
          <w:color w:val="000000" w:themeColor="text1"/>
        </w:rPr>
      </w:pPr>
      <w:r w:rsidRPr="00F03F55">
        <w:rPr>
          <w:color w:val="000000" w:themeColor="text1"/>
        </w:rPr>
        <w:t>Table 4 presents the results of the OLS regression showing PM</w:t>
      </w:r>
      <w:r w:rsidRPr="00F03F55">
        <w:rPr>
          <w:color w:val="000000" w:themeColor="text1"/>
          <w:vertAlign w:val="subscript"/>
        </w:rPr>
        <w:t>2.5</w:t>
      </w:r>
      <w:r w:rsidRPr="00F03F55">
        <w:rPr>
          <w:color w:val="000000" w:themeColor="text1"/>
        </w:rPr>
        <w:t xml:space="preserve"> concentrations in counties with non-prison TDCJ facilities relative to in counties without any </w:t>
      </w:r>
      <w:r w:rsidR="00B31578" w:rsidRPr="00F03F55">
        <w:rPr>
          <w:color w:val="000000" w:themeColor="text1"/>
        </w:rPr>
        <w:t>non-prison TDCJ facilities</w:t>
      </w:r>
      <w:r w:rsidRPr="00F03F55">
        <w:rPr>
          <w:color w:val="000000" w:themeColor="text1"/>
        </w:rPr>
        <w:t xml:space="preserve">. </w:t>
      </w:r>
      <w:r w:rsidRPr="00F03F55">
        <w:rPr>
          <w:color w:val="000000" w:themeColor="text1"/>
          <w:shd w:val="clear" w:color="auto" w:fill="FFFFFF"/>
        </w:rPr>
        <w:t xml:space="preserve">The results indicate that, compared to counties without </w:t>
      </w:r>
      <w:r w:rsidR="00F8171B" w:rsidRPr="00F03F55">
        <w:rPr>
          <w:color w:val="000000" w:themeColor="text1"/>
        </w:rPr>
        <w:t>any non-prison TDCJ facilities</w:t>
      </w:r>
      <w:r w:rsidRPr="00F03F55">
        <w:rPr>
          <w:color w:val="000000" w:themeColor="text1"/>
          <w:shd w:val="clear" w:color="auto" w:fill="FFFFFF"/>
        </w:rPr>
        <w:t xml:space="preserve">, counties that have one or more </w:t>
      </w:r>
      <w:r w:rsidR="00F8171B" w:rsidRPr="00F03F55">
        <w:rPr>
          <w:color w:val="000000" w:themeColor="text1"/>
          <w:shd w:val="clear" w:color="auto" w:fill="FFFFFF"/>
        </w:rPr>
        <w:t xml:space="preserve">non-prison </w:t>
      </w:r>
      <w:r w:rsidRPr="00F03F55">
        <w:rPr>
          <w:color w:val="000000" w:themeColor="text1"/>
          <w:shd w:val="clear" w:color="auto" w:fill="FFFFFF"/>
        </w:rPr>
        <w:t xml:space="preserve">TDCJ facilities have an increased </w:t>
      </w:r>
      <w:r w:rsidRPr="00F03F55">
        <w:rPr>
          <w:color w:val="000000" w:themeColor="text1"/>
        </w:rPr>
        <w:t>PM</w:t>
      </w:r>
      <w:r w:rsidRPr="00F03F55">
        <w:rPr>
          <w:color w:val="000000" w:themeColor="text1"/>
          <w:vertAlign w:val="subscript"/>
        </w:rPr>
        <w:t xml:space="preserve">2.5 </w:t>
      </w:r>
      <w:r w:rsidRPr="00F03F55">
        <w:rPr>
          <w:color w:val="000000" w:themeColor="text1"/>
          <w:shd w:val="clear" w:color="auto" w:fill="FFFFFF"/>
        </w:rPr>
        <w:t xml:space="preserve">concentration </w:t>
      </w:r>
      <w:r w:rsidRPr="00F03F55">
        <w:rPr>
          <w:color w:val="000000" w:themeColor="text1"/>
        </w:rPr>
        <w:t xml:space="preserve">by about </w:t>
      </w:r>
      <w:r w:rsidRPr="00F03F55">
        <w:rPr>
          <w:color w:val="000000" w:themeColor="text1"/>
          <w:shd w:val="clear" w:color="auto" w:fill="FFFFFF"/>
        </w:rPr>
        <w:t>.</w:t>
      </w:r>
      <w:r w:rsidR="001C730D" w:rsidRPr="00F03F55">
        <w:rPr>
          <w:color w:val="000000" w:themeColor="text1"/>
          <w:shd w:val="clear" w:color="auto" w:fill="FFFFFF"/>
        </w:rPr>
        <w:t>370</w:t>
      </w:r>
      <w:r w:rsidRPr="00F03F55">
        <w:rPr>
          <w:color w:val="000000" w:themeColor="text1"/>
          <w:shd w:val="clear" w:color="auto" w:fill="FFFFFF"/>
        </w:rPr>
        <w:t xml:space="preserve"> </w:t>
      </w:r>
      <w:r w:rsidRPr="00F03F55">
        <w:rPr>
          <w:color w:val="000000" w:themeColor="text1"/>
        </w:rPr>
        <w:t>µg/m</w:t>
      </w:r>
      <w:r w:rsidRPr="00F03F55">
        <w:rPr>
          <w:color w:val="000000" w:themeColor="text1"/>
          <w:vertAlign w:val="superscript"/>
        </w:rPr>
        <w:t>3</w:t>
      </w:r>
      <w:r w:rsidR="00F8171B" w:rsidRPr="00F03F55">
        <w:rPr>
          <w:color w:val="000000" w:themeColor="text1"/>
        </w:rPr>
        <w:t xml:space="preserve">, </w:t>
      </w:r>
      <w:r w:rsidR="00F8171B" w:rsidRPr="00F03F55">
        <w:rPr>
          <w:color w:val="000000" w:themeColor="text1"/>
          <w:shd w:val="clear" w:color="auto" w:fill="FFFFFF"/>
        </w:rPr>
        <w:t>although this increase is not statistically significant (</w:t>
      </w:r>
      <w:r w:rsidR="00F8171B" w:rsidRPr="00F03F55">
        <w:rPr>
          <w:color w:val="000000" w:themeColor="text1"/>
        </w:rPr>
        <w:t>95% confidence interval [-.</w:t>
      </w:r>
      <w:r w:rsidR="006F097F" w:rsidRPr="00F03F55">
        <w:rPr>
          <w:color w:val="000000" w:themeColor="text1"/>
        </w:rPr>
        <w:t>196</w:t>
      </w:r>
      <w:r w:rsidR="00F8171B" w:rsidRPr="00F03F55">
        <w:rPr>
          <w:color w:val="000000" w:themeColor="text1"/>
        </w:rPr>
        <w:t>, .</w:t>
      </w:r>
      <w:r w:rsidR="006F097F" w:rsidRPr="00F03F55">
        <w:rPr>
          <w:color w:val="000000" w:themeColor="text1"/>
        </w:rPr>
        <w:t>935</w:t>
      </w:r>
      <w:r w:rsidR="00F8171B" w:rsidRPr="00F03F55">
        <w:rPr>
          <w:color w:val="000000" w:themeColor="text1"/>
        </w:rPr>
        <w:t xml:space="preserve">], </w:t>
      </w:r>
      <w:r w:rsidR="00F8171B" w:rsidRPr="00F03F55">
        <w:rPr>
          <w:i/>
          <w:color w:val="000000" w:themeColor="text1"/>
          <w:shd w:val="clear" w:color="auto" w:fill="FFFFFF"/>
        </w:rPr>
        <w:t>p</w:t>
      </w:r>
      <w:r w:rsidR="00F8171B" w:rsidRPr="00F03F55">
        <w:rPr>
          <w:color w:val="000000" w:themeColor="text1"/>
          <w:shd w:val="clear" w:color="auto" w:fill="FFFFFF"/>
        </w:rPr>
        <w:t xml:space="preserve"> = .</w:t>
      </w:r>
      <w:r w:rsidR="006F097F" w:rsidRPr="00F03F55">
        <w:rPr>
          <w:color w:val="000000" w:themeColor="text1"/>
          <w:shd w:val="clear" w:color="auto" w:fill="FFFFFF"/>
        </w:rPr>
        <w:t>200</w:t>
      </w:r>
      <w:r w:rsidR="00F8171B" w:rsidRPr="00F03F55">
        <w:rPr>
          <w:color w:val="000000" w:themeColor="text1"/>
          <w:shd w:val="clear" w:color="auto" w:fill="FFFFFF"/>
        </w:rPr>
        <w:t>)</w:t>
      </w:r>
      <w:r w:rsidRPr="00F03F55">
        <w:rPr>
          <w:color w:val="000000" w:themeColor="text1"/>
        </w:rPr>
        <w:t xml:space="preserve">. </w:t>
      </w:r>
      <w:r w:rsidR="006F097F" w:rsidRPr="00F03F55">
        <w:rPr>
          <w:color w:val="000000" w:themeColor="text1"/>
        </w:rPr>
        <w:t>Land area (95% confidence interval [-.001, -.00</w:t>
      </w:r>
      <w:r w:rsidR="00104FF3">
        <w:rPr>
          <w:color w:val="000000" w:themeColor="text1"/>
        </w:rPr>
        <w:t>0</w:t>
      </w:r>
      <w:r w:rsidR="006F097F" w:rsidRPr="00F03F55">
        <w:rPr>
          <w:color w:val="000000" w:themeColor="text1"/>
        </w:rPr>
        <w:t xml:space="preserve">], p &lt; .001), percent industry employees (95% confidence interval [-.075, -.033], p &lt; .001), and the </w:t>
      </w:r>
      <w:r w:rsidR="006F097F" w:rsidRPr="00F03F55">
        <w:rPr>
          <w:color w:val="000000" w:themeColor="text1"/>
        </w:rPr>
        <w:lastRenderedPageBreak/>
        <w:t>percentage of non-Hispanic White residents (95% confidence interval [-.010, -.005], p = .002) are remain significantly associated with PM</w:t>
      </w:r>
      <w:r w:rsidR="006F097F" w:rsidRPr="00F03F55">
        <w:rPr>
          <w:color w:val="000000" w:themeColor="text1"/>
          <w:vertAlign w:val="subscript"/>
        </w:rPr>
        <w:t xml:space="preserve">2.5 </w:t>
      </w:r>
      <w:r w:rsidR="006F097F" w:rsidRPr="00F03F55">
        <w:rPr>
          <w:color w:val="000000" w:themeColor="text1"/>
        </w:rPr>
        <w:t>such that when these values are lower, PM</w:t>
      </w:r>
      <w:r w:rsidR="006F097F" w:rsidRPr="00F03F55">
        <w:rPr>
          <w:color w:val="000000" w:themeColor="text1"/>
          <w:vertAlign w:val="subscript"/>
        </w:rPr>
        <w:t xml:space="preserve">2.5 </w:t>
      </w:r>
      <w:r w:rsidR="006F097F" w:rsidRPr="00F03F55">
        <w:rPr>
          <w:color w:val="000000" w:themeColor="text1"/>
        </w:rPr>
        <w:t>is higher. Median household income (95% confidence interval [-.004, .019], p = .222), p</w:t>
      </w:r>
      <w:r w:rsidRPr="00F03F55">
        <w:rPr>
          <w:color w:val="000000" w:themeColor="text1"/>
        </w:rPr>
        <w:t>opulation density</w:t>
      </w:r>
      <w:r w:rsidR="006F097F" w:rsidRPr="00F03F55">
        <w:rPr>
          <w:color w:val="000000" w:themeColor="text1"/>
        </w:rPr>
        <w:t xml:space="preserve"> (95% confidence interval [-.</w:t>
      </w:r>
      <w:r w:rsidR="005B4A4A" w:rsidRPr="00F03F55">
        <w:rPr>
          <w:color w:val="000000" w:themeColor="text1"/>
        </w:rPr>
        <w:t>306</w:t>
      </w:r>
      <w:r w:rsidR="006F097F" w:rsidRPr="00F03F55">
        <w:rPr>
          <w:color w:val="000000" w:themeColor="text1"/>
        </w:rPr>
        <w:t>, .</w:t>
      </w:r>
      <w:r w:rsidR="005B4A4A" w:rsidRPr="00F03F55">
        <w:rPr>
          <w:color w:val="000000" w:themeColor="text1"/>
        </w:rPr>
        <w:t>706</w:t>
      </w:r>
      <w:r w:rsidR="006F097F" w:rsidRPr="00F03F55">
        <w:rPr>
          <w:color w:val="000000" w:themeColor="text1"/>
        </w:rPr>
        <w:t>], p = .</w:t>
      </w:r>
      <w:r w:rsidR="005B4A4A" w:rsidRPr="00F03F55">
        <w:rPr>
          <w:color w:val="000000" w:themeColor="text1"/>
        </w:rPr>
        <w:t>437</w:t>
      </w:r>
      <w:r w:rsidR="006F097F" w:rsidRPr="00F03F55">
        <w:rPr>
          <w:color w:val="000000" w:themeColor="text1"/>
        </w:rPr>
        <w:t>), and</w:t>
      </w:r>
      <w:r w:rsidRPr="00F03F55">
        <w:rPr>
          <w:color w:val="000000" w:themeColor="text1"/>
        </w:rPr>
        <w:t xml:space="preserve"> </w:t>
      </w:r>
      <w:r w:rsidR="006F097F" w:rsidRPr="00F03F55">
        <w:rPr>
          <w:color w:val="000000" w:themeColor="text1"/>
        </w:rPr>
        <w:t>the percentage of the county population who are people in TDCJ facilities (95% confidence interval [-.0</w:t>
      </w:r>
      <w:r w:rsidR="005B4A4A" w:rsidRPr="00F03F55">
        <w:rPr>
          <w:color w:val="000000" w:themeColor="text1"/>
        </w:rPr>
        <w:t>42</w:t>
      </w:r>
      <w:r w:rsidR="006F097F" w:rsidRPr="00F03F55">
        <w:rPr>
          <w:color w:val="000000" w:themeColor="text1"/>
        </w:rPr>
        <w:t>, .0</w:t>
      </w:r>
      <w:r w:rsidR="005B4A4A" w:rsidRPr="00F03F55">
        <w:rPr>
          <w:color w:val="000000" w:themeColor="text1"/>
        </w:rPr>
        <w:t>33</w:t>
      </w:r>
      <w:r w:rsidR="006F097F" w:rsidRPr="00F03F55">
        <w:rPr>
          <w:color w:val="000000" w:themeColor="text1"/>
        </w:rPr>
        <w:t>], p = .</w:t>
      </w:r>
      <w:r w:rsidR="005B4A4A" w:rsidRPr="00F03F55">
        <w:rPr>
          <w:color w:val="000000" w:themeColor="text1"/>
        </w:rPr>
        <w:t>824</w:t>
      </w:r>
      <w:r w:rsidR="006F097F" w:rsidRPr="00F03F55">
        <w:rPr>
          <w:color w:val="000000" w:themeColor="text1"/>
        </w:rPr>
        <w:t>), are not significantly associated with PM</w:t>
      </w:r>
      <w:r w:rsidR="006F097F" w:rsidRPr="00F03F55">
        <w:rPr>
          <w:color w:val="000000" w:themeColor="text1"/>
          <w:vertAlign w:val="subscript"/>
        </w:rPr>
        <w:t>2.5.</w:t>
      </w:r>
      <w:r w:rsidR="00A1295D" w:rsidRPr="00F03F55">
        <w:rPr>
          <w:color w:val="000000" w:themeColor="text1"/>
          <w:vertAlign w:val="subscript"/>
        </w:rPr>
        <w:t xml:space="preserve"> </w:t>
      </w:r>
      <w:r w:rsidR="00A1295D" w:rsidRPr="00F03F55">
        <w:rPr>
          <w:color w:val="000000" w:themeColor="text1"/>
        </w:rPr>
        <w:t>About 26% of the variability in PM</w:t>
      </w:r>
      <w:r w:rsidR="00A1295D" w:rsidRPr="00F03F55">
        <w:rPr>
          <w:color w:val="000000" w:themeColor="text1"/>
          <w:vertAlign w:val="subscript"/>
        </w:rPr>
        <w:t xml:space="preserve">2.5 </w:t>
      </w:r>
      <w:r w:rsidR="00A1295D" w:rsidRPr="00F03F55">
        <w:rPr>
          <w:color w:val="000000" w:themeColor="text1"/>
        </w:rPr>
        <w:t>is explained by the variables in presented in Table 4.</w:t>
      </w:r>
    </w:p>
    <w:p w14:paraId="7BADF0DA" w14:textId="00D82C2F" w:rsidR="00241321" w:rsidRPr="0023221D" w:rsidRDefault="00241321" w:rsidP="00C30943">
      <w:pPr>
        <w:spacing w:line="480" w:lineRule="auto"/>
        <w:ind w:firstLine="720"/>
      </w:pPr>
    </w:p>
    <w:p w14:paraId="6EC7AA32" w14:textId="6F902211" w:rsidR="005B3B62" w:rsidRPr="0023221D" w:rsidRDefault="005B3B62" w:rsidP="00C30943">
      <w:pPr>
        <w:spacing w:line="480" w:lineRule="auto"/>
        <w:ind w:left="14" w:hanging="14"/>
        <w:jc w:val="center"/>
        <w:rPr>
          <w:bCs/>
          <w:color w:val="000000" w:themeColor="text1"/>
        </w:rPr>
      </w:pPr>
      <w:r w:rsidRPr="0023221D">
        <w:rPr>
          <w:bCs/>
          <w:color w:val="000000" w:themeColor="text1"/>
        </w:rPr>
        <w:t>***Insert Table 4 About Here***</w:t>
      </w:r>
    </w:p>
    <w:p w14:paraId="241A5A16" w14:textId="099A813D" w:rsidR="00F958C0" w:rsidRDefault="00407754" w:rsidP="002A07B6">
      <w:pPr>
        <w:pStyle w:val="NormalWeb"/>
        <w:spacing w:before="0" w:beforeAutospacing="0" w:after="0" w:afterAutospacing="0"/>
        <w:rPr>
          <w:b/>
          <w:bCs/>
        </w:rPr>
      </w:pPr>
      <w:r>
        <w:rPr>
          <w:b/>
          <w:bCs/>
        </w:rPr>
        <w:t>Discussion</w:t>
      </w:r>
      <w:r w:rsidR="000E5B36">
        <w:rPr>
          <w:b/>
          <w:bCs/>
        </w:rPr>
        <w:t xml:space="preserve"> </w:t>
      </w:r>
    </w:p>
    <w:p w14:paraId="075CBED4" w14:textId="77777777" w:rsidR="00571CFB" w:rsidRDefault="00571CFB" w:rsidP="00571CFB">
      <w:pPr>
        <w:pStyle w:val="NormalWeb"/>
        <w:spacing w:before="0" w:beforeAutospacing="0" w:after="0" w:afterAutospacing="0"/>
        <w:rPr>
          <w:b/>
          <w:bCs/>
        </w:rPr>
      </w:pPr>
    </w:p>
    <w:p w14:paraId="22DD89EA" w14:textId="201B0357" w:rsidR="00D82BC0" w:rsidRDefault="002E73AB" w:rsidP="002A07B6">
      <w:pPr>
        <w:spacing w:line="480" w:lineRule="auto"/>
        <w:rPr>
          <w:color w:val="FF0000"/>
        </w:rPr>
      </w:pPr>
      <w:r>
        <w:t xml:space="preserve">Past research has indicated that some </w:t>
      </w:r>
      <w:proofErr w:type="gramStart"/>
      <w:r>
        <w:t>correctional facilities</w:t>
      </w:r>
      <w:proofErr w:type="gramEnd"/>
      <w:r>
        <w:t xml:space="preserve"> in the </w:t>
      </w:r>
      <w:r w:rsidR="00FD04B0">
        <w:t>U.S.</w:t>
      </w:r>
      <w:r>
        <w:t xml:space="preserve"> are subject to environmental justice problems</w:t>
      </w:r>
      <w:r w:rsidR="00FD04B0">
        <w:t xml:space="preserve">, </w:t>
      </w:r>
      <w:r>
        <w:t xml:space="preserve">such as </w:t>
      </w:r>
      <w:r w:rsidR="00284B04">
        <w:t xml:space="preserve">exposure to dangerous toxins </w:t>
      </w:r>
      <w:r w:rsidR="00104FF3">
        <w:t>like</w:t>
      </w:r>
      <w:r w:rsidR="00284B04">
        <w:t xml:space="preserve"> methane (Pellow, 2017) and coal ash (Bradshaw, 2018</w:t>
      </w:r>
      <w:r w:rsidR="00184594">
        <w:t xml:space="preserve">; </w:t>
      </w:r>
      <w:proofErr w:type="spellStart"/>
      <w:r w:rsidR="00184594">
        <w:t>Schept</w:t>
      </w:r>
      <w:proofErr w:type="spellEnd"/>
      <w:r w:rsidR="00184594">
        <w:t>, 2014</w:t>
      </w:r>
      <w:r w:rsidR="00284B04">
        <w:t>)</w:t>
      </w:r>
      <w:r>
        <w:t xml:space="preserve">. </w:t>
      </w:r>
      <w:r w:rsidR="00FD04B0">
        <w:t xml:space="preserve">Aside </w:t>
      </w:r>
      <w:r>
        <w:t>from a small handful of studies (Leon-C</w:t>
      </w:r>
      <w:r w:rsidR="00C23687">
        <w:t>orwin et al., 2020</w:t>
      </w:r>
      <w:r>
        <w:t>; Toman, 2022),</w:t>
      </w:r>
      <w:r w:rsidR="00FD04B0">
        <w:t xml:space="preserve"> however,</w:t>
      </w:r>
      <w:r>
        <w:t xml:space="preserve"> it remains largely unknown if areas with </w:t>
      </w:r>
      <w:proofErr w:type="gramStart"/>
      <w:r>
        <w:t>correctional facilities</w:t>
      </w:r>
      <w:proofErr w:type="gramEnd"/>
      <w:r>
        <w:t xml:space="preserve"> are exposed to higher levels of environmental toxins relative to areas without correctional facilities. Given that many incarcerated individuals suffer from a variety of health conditions (</w:t>
      </w:r>
      <w:r w:rsidR="006F45E6" w:rsidRPr="00D63EA4">
        <w:rPr>
          <w:color w:val="222222"/>
          <w:shd w:val="clear" w:color="auto" w:fill="FFFFFF"/>
        </w:rPr>
        <w:t>Binswanger, Krueger, &amp; Steiner,</w:t>
      </w:r>
      <w:r w:rsidR="006F45E6">
        <w:rPr>
          <w:color w:val="222222"/>
          <w:shd w:val="clear" w:color="auto" w:fill="FFFFFF"/>
        </w:rPr>
        <w:t xml:space="preserve"> 2009; </w:t>
      </w:r>
      <w:r w:rsidR="006F45E6" w:rsidRPr="005536BF">
        <w:rPr>
          <w:color w:val="222222"/>
          <w:shd w:val="clear" w:color="auto" w:fill="FFFFFF"/>
        </w:rPr>
        <w:t>Butler et al., 2004; Fazel &amp; Baillargeon, 2011</w:t>
      </w:r>
      <w:r>
        <w:t>), the quality of prison healthcare is low overall</w:t>
      </w:r>
      <w:r w:rsidR="0001240D">
        <w:t xml:space="preserve"> (</w:t>
      </w:r>
      <w:r w:rsidR="00F54DF7">
        <w:t xml:space="preserve">Prost et al., 2021; </w:t>
      </w:r>
      <w:r w:rsidR="0001240D" w:rsidRPr="002B36D0">
        <w:rPr>
          <w:color w:val="222222"/>
          <w:shd w:val="clear" w:color="auto" w:fill="FFFFFF"/>
        </w:rPr>
        <w:t>Vaughn &amp; Carroll,</w:t>
      </w:r>
      <w:r w:rsidR="0001240D">
        <w:rPr>
          <w:color w:val="222222"/>
          <w:shd w:val="clear" w:color="auto" w:fill="FFFFFF"/>
        </w:rPr>
        <w:t xml:space="preserve"> 1998</w:t>
      </w:r>
      <w:r>
        <w:t xml:space="preserve">), and exposure to environmental toxins can both exacerbate and contribute to the development of new health problems </w:t>
      </w:r>
      <w:r w:rsidR="000A01F2">
        <w:t xml:space="preserve">(U.S. </w:t>
      </w:r>
      <w:r w:rsidR="000A01F2" w:rsidRPr="007C1005">
        <w:t>Environmental Protection Agency</w:t>
      </w:r>
      <w:r w:rsidR="000A01F2">
        <w:t xml:space="preserve">, </w:t>
      </w:r>
      <w:r w:rsidR="000A01F2" w:rsidRPr="007C1005">
        <w:t>20</w:t>
      </w:r>
      <w:r w:rsidR="000A01F2">
        <w:t xml:space="preserve">21; </w:t>
      </w:r>
      <w:r w:rsidR="000A01F2" w:rsidRPr="00E32306">
        <w:rPr>
          <w:color w:val="222222"/>
          <w:shd w:val="clear" w:color="auto" w:fill="FFFFFF"/>
        </w:rPr>
        <w:t>Xing</w:t>
      </w:r>
      <w:r w:rsidR="000A01F2">
        <w:rPr>
          <w:color w:val="222222"/>
          <w:shd w:val="clear" w:color="auto" w:fill="FFFFFF"/>
        </w:rPr>
        <w:t xml:space="preserve"> et al., 2016</w:t>
      </w:r>
      <w:r>
        <w:t xml:space="preserve">), this is an important </w:t>
      </w:r>
      <w:r w:rsidR="00C23687">
        <w:t>avenue of</w:t>
      </w:r>
      <w:r>
        <w:t xml:space="preserve"> </w:t>
      </w:r>
      <w:r w:rsidR="00C23687">
        <w:t>inquiry</w:t>
      </w:r>
      <w:r>
        <w:t>.</w:t>
      </w:r>
      <w:r w:rsidRPr="00D82BC0">
        <w:rPr>
          <w:color w:val="000000" w:themeColor="text1"/>
        </w:rPr>
        <w:t xml:space="preserve"> </w:t>
      </w:r>
      <w:r w:rsidR="00D82BC0" w:rsidRPr="00D82BC0">
        <w:rPr>
          <w:color w:val="000000" w:themeColor="text1"/>
        </w:rPr>
        <w:t>The idea that</w:t>
      </w:r>
      <w:r w:rsidR="006F678E" w:rsidRPr="00D82BC0">
        <w:rPr>
          <w:color w:val="000000" w:themeColor="text1"/>
        </w:rPr>
        <w:t xml:space="preserve"> areas with </w:t>
      </w:r>
      <w:proofErr w:type="gramStart"/>
      <w:r w:rsidR="006F678E" w:rsidRPr="00D82BC0">
        <w:rPr>
          <w:color w:val="000000" w:themeColor="text1"/>
        </w:rPr>
        <w:t>correctional facilities</w:t>
      </w:r>
      <w:proofErr w:type="gramEnd"/>
      <w:r w:rsidR="006F678E" w:rsidRPr="00D82BC0">
        <w:rPr>
          <w:color w:val="000000" w:themeColor="text1"/>
        </w:rPr>
        <w:t xml:space="preserve"> might have higher levels of environmental toxins can be supported theoretically by Perdue’s (2023) argument </w:t>
      </w:r>
      <w:r w:rsidR="00104FF3">
        <w:rPr>
          <w:color w:val="000000" w:themeColor="text1"/>
        </w:rPr>
        <w:t>in which</w:t>
      </w:r>
      <w:r w:rsidR="006F678E" w:rsidRPr="00D82BC0">
        <w:rPr>
          <w:color w:val="000000" w:themeColor="text1"/>
        </w:rPr>
        <w:t xml:space="preserve"> communities are chosen to house correctional facilities to combat the </w:t>
      </w:r>
      <w:r w:rsidR="006F678E" w:rsidRPr="00D82BC0">
        <w:rPr>
          <w:color w:val="000000" w:themeColor="text1"/>
        </w:rPr>
        <w:lastRenderedPageBreak/>
        <w:t>consequences to place incarcerated people in areas with other “outsiders”, such as poor rural areas</w:t>
      </w:r>
      <w:r w:rsidR="00D82BC0" w:rsidRPr="00D82BC0">
        <w:rPr>
          <w:color w:val="000000" w:themeColor="text1"/>
        </w:rPr>
        <w:t xml:space="preserve">. Pellow’s perspective also supports the claim that areas with </w:t>
      </w:r>
      <w:proofErr w:type="gramStart"/>
      <w:r w:rsidR="00D82BC0" w:rsidRPr="00D82BC0">
        <w:rPr>
          <w:color w:val="000000" w:themeColor="text1"/>
        </w:rPr>
        <w:t>correctional facilities</w:t>
      </w:r>
      <w:proofErr w:type="gramEnd"/>
      <w:r w:rsidR="00D82BC0" w:rsidRPr="00D82BC0">
        <w:rPr>
          <w:color w:val="000000" w:themeColor="text1"/>
        </w:rPr>
        <w:t xml:space="preserve"> might have higher levels of environmental toxins</w:t>
      </w:r>
      <w:r w:rsidR="006F678E" w:rsidRPr="00D82BC0">
        <w:rPr>
          <w:color w:val="000000" w:themeColor="text1"/>
        </w:rPr>
        <w:t xml:space="preserve"> </w:t>
      </w:r>
      <w:r w:rsidR="00D82BC0" w:rsidRPr="00D82BC0">
        <w:rPr>
          <w:color w:val="000000" w:themeColor="text1"/>
        </w:rPr>
        <w:t xml:space="preserve">as stakeholders might believe that there are societal and historical reasons to build facilities in these areas. </w:t>
      </w:r>
    </w:p>
    <w:p w14:paraId="69C0912A" w14:textId="5305DC34" w:rsidR="002E73AB" w:rsidRDefault="002E73AB" w:rsidP="00D82BC0">
      <w:pPr>
        <w:spacing w:line="480" w:lineRule="auto"/>
        <w:ind w:firstLine="720"/>
      </w:pPr>
      <w:r>
        <w:t>In response to these gaps</w:t>
      </w:r>
      <w:r w:rsidR="006F678E">
        <w:t xml:space="preserve"> and theoretical perspectives</w:t>
      </w:r>
      <w:r>
        <w:t>, this study</w:t>
      </w:r>
      <w:r w:rsidR="00593274">
        <w:t xml:space="preserve"> </w:t>
      </w:r>
      <w:r w:rsidR="00593274" w:rsidRPr="00324EAF">
        <w:t>examine</w:t>
      </w:r>
      <w:r w:rsidR="00593274">
        <w:t xml:space="preserve">d </w:t>
      </w:r>
      <w:r w:rsidR="00593274" w:rsidRPr="00324EAF">
        <w:t xml:space="preserve">if levels of </w:t>
      </w:r>
      <w:r w:rsidR="00593274" w:rsidRPr="00324EAF">
        <w:rPr>
          <w:color w:val="212529"/>
          <w:shd w:val="clear" w:color="auto" w:fill="FFFFFF"/>
        </w:rPr>
        <w:t>PM</w:t>
      </w:r>
      <w:r w:rsidR="00593274" w:rsidRPr="00324EAF">
        <w:rPr>
          <w:color w:val="212529"/>
          <w:shd w:val="clear" w:color="auto" w:fill="FFFFFF"/>
          <w:vertAlign w:val="subscript"/>
        </w:rPr>
        <w:t>2</w:t>
      </w:r>
      <w:r w:rsidR="00593274">
        <w:rPr>
          <w:color w:val="212529"/>
          <w:shd w:val="clear" w:color="auto" w:fill="FFFFFF"/>
          <w:vertAlign w:val="subscript"/>
        </w:rPr>
        <w:t>.5,</w:t>
      </w:r>
      <w:r w:rsidR="00593274">
        <w:rPr>
          <w:color w:val="212529"/>
          <w:shd w:val="clear" w:color="auto" w:fill="FFFFFF"/>
        </w:rPr>
        <w:t xml:space="preserve"> which is a form of hazardous pollution, </w:t>
      </w:r>
      <w:r w:rsidR="00593274" w:rsidRPr="00593274">
        <w:t>are</w:t>
      </w:r>
      <w:r w:rsidR="00593274" w:rsidRPr="00324EAF">
        <w:t xml:space="preserve"> different in counties with T</w:t>
      </w:r>
      <w:r w:rsidR="00593274">
        <w:t xml:space="preserve">exas </w:t>
      </w:r>
      <w:r w:rsidR="00593274" w:rsidRPr="00324EAF">
        <w:t>D</w:t>
      </w:r>
      <w:r w:rsidR="00593274">
        <w:t xml:space="preserve">epartment of </w:t>
      </w:r>
      <w:r w:rsidR="00593274" w:rsidRPr="00324EAF">
        <w:t>C</w:t>
      </w:r>
      <w:r w:rsidR="00593274">
        <w:t xml:space="preserve">riminal </w:t>
      </w:r>
      <w:r w:rsidR="00593274" w:rsidRPr="00324EAF">
        <w:t>J</w:t>
      </w:r>
      <w:r w:rsidR="00593274">
        <w:t>ustice (TDCJ)</w:t>
      </w:r>
      <w:r w:rsidR="00593274" w:rsidRPr="00324EAF">
        <w:t xml:space="preserve"> facilities</w:t>
      </w:r>
      <w:r w:rsidR="00593274">
        <w:t xml:space="preserve"> </w:t>
      </w:r>
      <w:r w:rsidR="00593274" w:rsidRPr="00324EAF">
        <w:t>relative to those counties without TDCJ facilities.</w:t>
      </w:r>
      <w:r w:rsidR="00593274">
        <w:t xml:space="preserve"> </w:t>
      </w:r>
      <w:r w:rsidR="006F45E6">
        <w:t xml:space="preserve">This study used OLS regression models to calculate if </w:t>
      </w:r>
      <w:r w:rsidR="006F45E6" w:rsidRPr="00324EAF">
        <w:rPr>
          <w:color w:val="212529"/>
          <w:shd w:val="clear" w:color="auto" w:fill="FFFFFF"/>
        </w:rPr>
        <w:t>PM</w:t>
      </w:r>
      <w:r w:rsidR="006F45E6" w:rsidRPr="00324EAF">
        <w:rPr>
          <w:color w:val="212529"/>
          <w:shd w:val="clear" w:color="auto" w:fill="FFFFFF"/>
          <w:vertAlign w:val="subscript"/>
        </w:rPr>
        <w:t>2</w:t>
      </w:r>
      <w:r w:rsidR="006F45E6">
        <w:rPr>
          <w:color w:val="212529"/>
          <w:shd w:val="clear" w:color="auto" w:fill="FFFFFF"/>
          <w:vertAlign w:val="subscript"/>
        </w:rPr>
        <w:t xml:space="preserve">.5 </w:t>
      </w:r>
      <w:r w:rsidR="006F45E6">
        <w:t xml:space="preserve">is higher in counties with TDCJ facilities relative to counties without </w:t>
      </w:r>
      <w:r w:rsidR="00C23687">
        <w:t xml:space="preserve">TDCJ facilities </w:t>
      </w:r>
      <w:r w:rsidR="006F45E6">
        <w:t xml:space="preserve">and to calculate if </w:t>
      </w:r>
      <w:r w:rsidR="00F54DF7">
        <w:t xml:space="preserve">counties with TDCJ prisons and non-prison TDCJ </w:t>
      </w:r>
      <w:r w:rsidR="006F45E6">
        <w:t xml:space="preserve">facilities </w:t>
      </w:r>
      <w:r w:rsidR="00F54DF7">
        <w:t xml:space="preserve">have higher </w:t>
      </w:r>
      <w:r w:rsidR="006F45E6" w:rsidRPr="00324EAF">
        <w:rPr>
          <w:color w:val="212529"/>
          <w:shd w:val="clear" w:color="auto" w:fill="FFFFFF"/>
        </w:rPr>
        <w:t>PM</w:t>
      </w:r>
      <w:r w:rsidR="006F45E6" w:rsidRPr="00324EAF">
        <w:rPr>
          <w:color w:val="212529"/>
          <w:shd w:val="clear" w:color="auto" w:fill="FFFFFF"/>
          <w:vertAlign w:val="subscript"/>
        </w:rPr>
        <w:t>2</w:t>
      </w:r>
      <w:r w:rsidR="006F45E6">
        <w:rPr>
          <w:color w:val="212529"/>
          <w:shd w:val="clear" w:color="auto" w:fill="FFFFFF"/>
          <w:vertAlign w:val="subscript"/>
        </w:rPr>
        <w:t>.5</w:t>
      </w:r>
      <w:r w:rsidR="00F54DF7">
        <w:rPr>
          <w:color w:val="212529"/>
          <w:shd w:val="clear" w:color="auto" w:fill="FFFFFF"/>
          <w:vertAlign w:val="subscript"/>
        </w:rPr>
        <w:t xml:space="preserve"> </w:t>
      </w:r>
      <w:r w:rsidR="00F54DF7">
        <w:t>values than counties without these respective facilities</w:t>
      </w:r>
      <w:r w:rsidR="006F45E6">
        <w:t xml:space="preserve">. </w:t>
      </w:r>
    </w:p>
    <w:p w14:paraId="20536745" w14:textId="5B60A5D1" w:rsidR="00737BBA" w:rsidRDefault="006F678E" w:rsidP="00483A72">
      <w:pPr>
        <w:spacing w:line="480" w:lineRule="auto"/>
        <w:ind w:firstLine="720"/>
      </w:pPr>
      <w:r>
        <w:t>It was</w:t>
      </w:r>
      <w:r w:rsidR="002E73AB">
        <w:t xml:space="preserve"> hypothesized</w:t>
      </w:r>
      <w:r w:rsidR="00C23687">
        <w:t xml:space="preserve"> that the concentration of </w:t>
      </w:r>
      <w:r w:rsidR="00C23687" w:rsidRPr="00324EAF">
        <w:rPr>
          <w:color w:val="212529"/>
          <w:shd w:val="clear" w:color="auto" w:fill="FFFFFF"/>
        </w:rPr>
        <w:t>PM</w:t>
      </w:r>
      <w:r w:rsidR="00C23687" w:rsidRPr="00324EAF">
        <w:rPr>
          <w:color w:val="212529"/>
          <w:shd w:val="clear" w:color="auto" w:fill="FFFFFF"/>
          <w:vertAlign w:val="subscript"/>
        </w:rPr>
        <w:t>2</w:t>
      </w:r>
      <w:r w:rsidR="00C23687">
        <w:rPr>
          <w:color w:val="212529"/>
          <w:shd w:val="clear" w:color="auto" w:fill="FFFFFF"/>
          <w:vertAlign w:val="subscript"/>
        </w:rPr>
        <w:t xml:space="preserve">.5 </w:t>
      </w:r>
      <w:r w:rsidR="00C23687">
        <w:t xml:space="preserve">would be higher in counties with TDCJ facilities </w:t>
      </w:r>
      <w:r w:rsidR="00251D09">
        <w:t>than in countries without TDCJ facilities</w:t>
      </w:r>
      <w:r w:rsidR="00860868">
        <w:t xml:space="preserve">. </w:t>
      </w:r>
      <w:r w:rsidR="002E73AB">
        <w:t xml:space="preserve">This hypothesis was supported </w:t>
      </w:r>
      <w:r w:rsidR="00860868">
        <w:t xml:space="preserve">in </w:t>
      </w:r>
      <w:r w:rsidR="006E4F49">
        <w:t>two of three</w:t>
      </w:r>
      <w:r w:rsidR="00860868">
        <w:t xml:space="preserve"> model</w:t>
      </w:r>
      <w:r w:rsidR="006E4F49">
        <w:t>s</w:t>
      </w:r>
      <w:r w:rsidR="00860868">
        <w:t xml:space="preserve"> presented in this s</w:t>
      </w:r>
      <w:r w:rsidR="00860868" w:rsidRPr="00411455">
        <w:rPr>
          <w:color w:val="000000" w:themeColor="text1"/>
        </w:rPr>
        <w:t>tudy</w:t>
      </w:r>
      <w:r w:rsidR="00B37149">
        <w:rPr>
          <w:color w:val="000000" w:themeColor="text1"/>
        </w:rPr>
        <w:t xml:space="preserve">, providing further evidence of environmental injustice among </w:t>
      </w:r>
      <w:r w:rsidR="00FD04B0">
        <w:rPr>
          <w:color w:val="000000" w:themeColor="text1"/>
        </w:rPr>
        <w:t>individuals involved in the criminal legal system</w:t>
      </w:r>
      <w:r w:rsidR="00860868" w:rsidRPr="00411455">
        <w:rPr>
          <w:color w:val="000000" w:themeColor="text1"/>
        </w:rPr>
        <w:t xml:space="preserve">. </w:t>
      </w:r>
      <w:r w:rsidR="00737BBA" w:rsidRPr="00411455">
        <w:rPr>
          <w:color w:val="000000" w:themeColor="text1"/>
        </w:rPr>
        <w:t xml:space="preserve">More specifically, </w:t>
      </w:r>
      <w:r w:rsidR="00996F0E" w:rsidRPr="00411455">
        <w:rPr>
          <w:color w:val="000000" w:themeColor="text1"/>
        </w:rPr>
        <w:t xml:space="preserve">the results of the OLS models indicated that counties with TDCJ facilities have around </w:t>
      </w:r>
      <w:r w:rsidR="007C2796">
        <w:rPr>
          <w:color w:val="000000" w:themeColor="text1"/>
        </w:rPr>
        <w:t>7</w:t>
      </w:r>
      <w:r w:rsidR="00996F0E" w:rsidRPr="00411455">
        <w:rPr>
          <w:color w:val="000000" w:themeColor="text1"/>
        </w:rPr>
        <w:t xml:space="preserve">% higher concentrations of </w:t>
      </w:r>
      <w:r w:rsidR="00996F0E" w:rsidRPr="00411455">
        <w:rPr>
          <w:color w:val="000000" w:themeColor="text1"/>
          <w:shd w:val="clear" w:color="auto" w:fill="FFFFFF"/>
        </w:rPr>
        <w:t>PM</w:t>
      </w:r>
      <w:r w:rsidR="00996F0E" w:rsidRPr="00411455">
        <w:rPr>
          <w:color w:val="000000" w:themeColor="text1"/>
          <w:shd w:val="clear" w:color="auto" w:fill="FFFFFF"/>
          <w:vertAlign w:val="subscript"/>
        </w:rPr>
        <w:t xml:space="preserve">2.5 </w:t>
      </w:r>
      <w:r w:rsidR="00996F0E" w:rsidRPr="00411455">
        <w:rPr>
          <w:color w:val="000000" w:themeColor="text1"/>
        </w:rPr>
        <w:t xml:space="preserve">than counties without TDCJ facilities. </w:t>
      </w:r>
      <w:r w:rsidR="00FD04B0">
        <w:rPr>
          <w:color w:val="000000" w:themeColor="text1"/>
        </w:rPr>
        <w:t>In addition</w:t>
      </w:r>
      <w:r w:rsidR="00996F0E" w:rsidRPr="00411455">
        <w:rPr>
          <w:color w:val="000000" w:themeColor="text1"/>
        </w:rPr>
        <w:t xml:space="preserve">, </w:t>
      </w:r>
      <w:r w:rsidR="00411455" w:rsidRPr="00411455">
        <w:rPr>
          <w:color w:val="000000" w:themeColor="text1"/>
        </w:rPr>
        <w:t xml:space="preserve">counties with TDCJ prisons have around </w:t>
      </w:r>
      <w:r w:rsidR="007C2796">
        <w:rPr>
          <w:color w:val="000000" w:themeColor="text1"/>
        </w:rPr>
        <w:t>8</w:t>
      </w:r>
      <w:r w:rsidR="00411455" w:rsidRPr="00411455">
        <w:rPr>
          <w:color w:val="000000" w:themeColor="text1"/>
        </w:rPr>
        <w:t xml:space="preserve">% higher concentrations of </w:t>
      </w:r>
      <w:r w:rsidR="00411455" w:rsidRPr="00411455">
        <w:rPr>
          <w:color w:val="000000" w:themeColor="text1"/>
          <w:shd w:val="clear" w:color="auto" w:fill="FFFFFF"/>
        </w:rPr>
        <w:t>PM</w:t>
      </w:r>
      <w:r w:rsidR="00411455" w:rsidRPr="00411455">
        <w:rPr>
          <w:color w:val="000000" w:themeColor="text1"/>
          <w:shd w:val="clear" w:color="auto" w:fill="FFFFFF"/>
          <w:vertAlign w:val="subscript"/>
        </w:rPr>
        <w:t xml:space="preserve">2.5 </w:t>
      </w:r>
      <w:r w:rsidR="00411455" w:rsidRPr="00411455">
        <w:rPr>
          <w:color w:val="000000" w:themeColor="text1"/>
        </w:rPr>
        <w:t>than counties without TDCJ prisons</w:t>
      </w:r>
      <w:r w:rsidR="00996F0E" w:rsidRPr="00411455">
        <w:rPr>
          <w:color w:val="000000" w:themeColor="text1"/>
        </w:rPr>
        <w:t>.</w:t>
      </w:r>
      <w:r w:rsidR="00411455" w:rsidRPr="00411455">
        <w:rPr>
          <w:color w:val="000000" w:themeColor="text1"/>
        </w:rPr>
        <w:t xml:space="preserve"> </w:t>
      </w:r>
      <w:r w:rsidR="00FD04B0">
        <w:rPr>
          <w:color w:val="000000" w:themeColor="text1"/>
        </w:rPr>
        <w:t>C</w:t>
      </w:r>
      <w:r w:rsidR="00411455" w:rsidRPr="00411455">
        <w:rPr>
          <w:color w:val="000000" w:themeColor="text1"/>
        </w:rPr>
        <w:t>ontrary to our hypothesis and the results for the previous two models</w:t>
      </w:r>
      <w:r w:rsidR="00FD04B0">
        <w:rPr>
          <w:color w:val="000000" w:themeColor="text1"/>
        </w:rPr>
        <w:t xml:space="preserve"> however</w:t>
      </w:r>
      <w:r w:rsidR="00411455" w:rsidRPr="00411455">
        <w:rPr>
          <w:color w:val="000000" w:themeColor="text1"/>
        </w:rPr>
        <w:t xml:space="preserve">, </w:t>
      </w:r>
      <w:r w:rsidR="00411455" w:rsidRPr="00411455">
        <w:rPr>
          <w:color w:val="000000" w:themeColor="text1"/>
          <w:shd w:val="clear" w:color="auto" w:fill="FFFFFF"/>
        </w:rPr>
        <w:t>PM</w:t>
      </w:r>
      <w:r w:rsidR="00411455" w:rsidRPr="00411455">
        <w:rPr>
          <w:color w:val="000000" w:themeColor="text1"/>
          <w:shd w:val="clear" w:color="auto" w:fill="FFFFFF"/>
          <w:vertAlign w:val="subscript"/>
        </w:rPr>
        <w:t>2.5</w:t>
      </w:r>
      <w:r w:rsidR="00411455">
        <w:rPr>
          <w:color w:val="000000" w:themeColor="text1"/>
          <w:shd w:val="clear" w:color="auto" w:fill="FFFFFF"/>
          <w:vertAlign w:val="subscript"/>
        </w:rPr>
        <w:t xml:space="preserve"> </w:t>
      </w:r>
      <w:r w:rsidR="00411455">
        <w:t xml:space="preserve">is not statistically different in </w:t>
      </w:r>
      <w:r w:rsidR="00411455" w:rsidRPr="00FA7628">
        <w:t xml:space="preserve">counties with </w:t>
      </w:r>
      <w:r w:rsidR="00411455">
        <w:t xml:space="preserve">non-prison </w:t>
      </w:r>
      <w:r w:rsidR="00411455" w:rsidRPr="00FA7628">
        <w:t xml:space="preserve">TDCJ </w:t>
      </w:r>
      <w:r w:rsidR="00411455">
        <w:t xml:space="preserve">facilities relative to </w:t>
      </w:r>
      <w:r w:rsidR="00411455" w:rsidRPr="00FA7628">
        <w:t>counties with</w:t>
      </w:r>
      <w:r w:rsidR="00411455">
        <w:t>out</w:t>
      </w:r>
      <w:r w:rsidR="00411455" w:rsidRPr="00FA7628">
        <w:t xml:space="preserve"> </w:t>
      </w:r>
      <w:r w:rsidR="00411455">
        <w:t xml:space="preserve">non-prison </w:t>
      </w:r>
      <w:r w:rsidR="00411455" w:rsidRPr="00FA7628">
        <w:t xml:space="preserve">TDCJ </w:t>
      </w:r>
      <w:r w:rsidR="00411455">
        <w:t xml:space="preserve">facilities. </w:t>
      </w:r>
      <w:r w:rsidR="00A1295D" w:rsidRPr="004F72EB">
        <w:rPr>
          <w:color w:val="000000" w:themeColor="text1"/>
        </w:rPr>
        <w:t xml:space="preserve">Model performance is similar </w:t>
      </w:r>
      <w:r w:rsidR="0033754B" w:rsidRPr="004F72EB">
        <w:rPr>
          <w:color w:val="000000" w:themeColor="text1"/>
        </w:rPr>
        <w:t>for each of the three models presented in the current study, with about 26% of the variability in PM</w:t>
      </w:r>
      <w:r w:rsidR="0033754B" w:rsidRPr="004F72EB">
        <w:rPr>
          <w:color w:val="000000" w:themeColor="text1"/>
          <w:vertAlign w:val="subscript"/>
        </w:rPr>
        <w:t xml:space="preserve">2.5 </w:t>
      </w:r>
      <w:r w:rsidR="0033754B" w:rsidRPr="004F72EB">
        <w:rPr>
          <w:color w:val="000000" w:themeColor="text1"/>
        </w:rPr>
        <w:t xml:space="preserve">is explained by the variables presented in each model. </w:t>
      </w:r>
    </w:p>
    <w:p w14:paraId="7E7DB009" w14:textId="1649294F" w:rsidR="00DF1571" w:rsidRDefault="001A12CA" w:rsidP="00DF1571">
      <w:pPr>
        <w:spacing w:line="480" w:lineRule="auto"/>
        <w:ind w:firstLine="720"/>
        <w:rPr>
          <w:color w:val="000000" w:themeColor="text1"/>
          <w:shd w:val="clear" w:color="auto" w:fill="FFFFFF"/>
        </w:rPr>
      </w:pPr>
      <w:r w:rsidRPr="00476EEC">
        <w:rPr>
          <w:color w:val="000000" w:themeColor="text1"/>
          <w:shd w:val="clear" w:color="auto" w:fill="FFFFFF"/>
        </w:rPr>
        <w:lastRenderedPageBreak/>
        <w:t xml:space="preserve">There are some possible explanations for our </w:t>
      </w:r>
      <w:r w:rsidR="001E1E5F" w:rsidRPr="00476EEC">
        <w:rPr>
          <w:color w:val="000000" w:themeColor="text1"/>
          <w:shd w:val="clear" w:color="auto" w:fill="FFFFFF"/>
        </w:rPr>
        <w:t xml:space="preserve">significant </w:t>
      </w:r>
      <w:r w:rsidRPr="00476EEC">
        <w:rPr>
          <w:color w:val="000000" w:themeColor="text1"/>
          <w:shd w:val="clear" w:color="auto" w:fill="FFFFFF"/>
        </w:rPr>
        <w:t xml:space="preserve">results that warrant further discussion. First, </w:t>
      </w:r>
      <w:r w:rsidR="007C190A" w:rsidRPr="00476EEC">
        <w:rPr>
          <w:color w:val="000000" w:themeColor="text1"/>
          <w:shd w:val="clear" w:color="auto" w:fill="FFFFFF"/>
        </w:rPr>
        <w:t xml:space="preserve">it could be that </w:t>
      </w:r>
      <w:r w:rsidRPr="00476EEC">
        <w:rPr>
          <w:color w:val="000000" w:themeColor="text1"/>
          <w:shd w:val="clear" w:color="auto" w:fill="FFFFFF"/>
        </w:rPr>
        <w:t>land in TDCJ</w:t>
      </w:r>
      <w:r w:rsidR="00476EEC">
        <w:rPr>
          <w:color w:val="000000" w:themeColor="text1"/>
          <w:shd w:val="clear" w:color="auto" w:fill="FFFFFF"/>
        </w:rPr>
        <w:t xml:space="preserve"> </w:t>
      </w:r>
      <w:r w:rsidRPr="00476EEC">
        <w:rPr>
          <w:color w:val="000000" w:themeColor="text1"/>
          <w:shd w:val="clear" w:color="auto" w:fill="FFFFFF"/>
        </w:rPr>
        <w:t>counties</w:t>
      </w:r>
      <w:r w:rsidR="007C190A" w:rsidRPr="00476EEC">
        <w:rPr>
          <w:color w:val="000000" w:themeColor="text1"/>
          <w:shd w:val="clear" w:color="auto" w:fill="FFFFFF"/>
        </w:rPr>
        <w:t xml:space="preserve">, where </w:t>
      </w:r>
      <w:r w:rsidR="007C190A" w:rsidRPr="00476EEC">
        <w:rPr>
          <w:color w:val="000000" w:themeColor="text1"/>
        </w:rPr>
        <w:t>PM</w:t>
      </w:r>
      <w:r w:rsidR="007C190A" w:rsidRPr="00476EEC">
        <w:rPr>
          <w:color w:val="000000" w:themeColor="text1"/>
          <w:vertAlign w:val="subscript"/>
        </w:rPr>
        <w:t xml:space="preserve">2.5 </w:t>
      </w:r>
      <w:r w:rsidR="007C190A" w:rsidRPr="00476EEC">
        <w:rPr>
          <w:color w:val="000000" w:themeColor="text1"/>
          <w:shd w:val="clear" w:color="auto" w:fill="FFFFFF"/>
        </w:rPr>
        <w:t>is elevated,</w:t>
      </w:r>
      <w:r w:rsidRPr="00476EEC">
        <w:rPr>
          <w:color w:val="000000" w:themeColor="text1"/>
          <w:shd w:val="clear" w:color="auto" w:fill="FFFFFF"/>
        </w:rPr>
        <w:t xml:space="preserve"> wa</w:t>
      </w:r>
      <w:r w:rsidR="007C190A" w:rsidRPr="00476EEC">
        <w:rPr>
          <w:color w:val="000000" w:themeColor="text1"/>
          <w:shd w:val="clear" w:color="auto" w:fill="FFFFFF"/>
        </w:rPr>
        <w:t>s cheaper relative to land in other, less polluted counties before TDCJ facilities were built</w:t>
      </w:r>
      <w:r w:rsidR="00E56A0E" w:rsidRPr="00476EEC">
        <w:rPr>
          <w:color w:val="000000" w:themeColor="text1"/>
          <w:shd w:val="clear" w:color="auto" w:fill="FFFFFF"/>
        </w:rPr>
        <w:t xml:space="preserve">. Thus, the </w:t>
      </w:r>
      <w:r w:rsidR="00ED52E9" w:rsidRPr="00476EEC">
        <w:rPr>
          <w:color w:val="000000" w:themeColor="text1"/>
          <w:shd w:val="clear" w:color="auto" w:fill="FFFFFF"/>
        </w:rPr>
        <w:t>s</w:t>
      </w:r>
      <w:r w:rsidR="00E56A0E" w:rsidRPr="00476EEC">
        <w:rPr>
          <w:color w:val="000000" w:themeColor="text1"/>
          <w:shd w:val="clear" w:color="auto" w:fill="FFFFFF"/>
        </w:rPr>
        <w:t>tate of Texas chose these areas to serve as TDCJ homes to save money</w:t>
      </w:r>
      <w:r w:rsidR="007C190A" w:rsidRPr="00476EEC">
        <w:rPr>
          <w:color w:val="000000" w:themeColor="text1"/>
          <w:shd w:val="clear" w:color="auto" w:fill="FFFFFF"/>
        </w:rPr>
        <w:t xml:space="preserve">. Another explanation for these results is that TDCJ counties might overlap with counties that house Texas </w:t>
      </w:r>
      <w:r w:rsidR="001E1E5F" w:rsidRPr="00476EEC">
        <w:rPr>
          <w:color w:val="000000" w:themeColor="text1"/>
          <w:shd w:val="clear" w:color="auto" w:fill="FFFFFF"/>
        </w:rPr>
        <w:t>power plants</w:t>
      </w:r>
      <w:r w:rsidR="007C190A" w:rsidRPr="00476EEC">
        <w:rPr>
          <w:color w:val="000000" w:themeColor="text1"/>
          <w:shd w:val="clear" w:color="auto" w:fill="FFFFFF"/>
        </w:rPr>
        <w:t xml:space="preserve"> and other big polluters. For the most part, TDCJ facilities </w:t>
      </w:r>
      <w:r w:rsidR="004F72EB" w:rsidRPr="00476EEC">
        <w:rPr>
          <w:color w:val="000000" w:themeColor="text1"/>
          <w:shd w:val="clear" w:color="auto" w:fill="FFFFFF"/>
        </w:rPr>
        <w:t>are in</w:t>
      </w:r>
      <w:r w:rsidR="007C190A" w:rsidRPr="00476EEC">
        <w:rPr>
          <w:color w:val="000000" w:themeColor="text1"/>
          <w:shd w:val="clear" w:color="auto" w:fill="FFFFFF"/>
        </w:rPr>
        <w:t xml:space="preserve"> rural areas (Penn, 2020). </w:t>
      </w:r>
      <w:r w:rsidR="009E7DE7" w:rsidRPr="00476EEC">
        <w:rPr>
          <w:color w:val="000000" w:themeColor="text1"/>
          <w:shd w:val="clear" w:color="auto" w:fill="FFFFFF"/>
        </w:rPr>
        <w:t xml:space="preserve">Consequently, </w:t>
      </w:r>
      <w:r w:rsidR="007C190A" w:rsidRPr="00476EEC">
        <w:rPr>
          <w:color w:val="000000" w:themeColor="text1"/>
          <w:shd w:val="clear" w:color="auto" w:fill="FFFFFF"/>
        </w:rPr>
        <w:t xml:space="preserve">Texas </w:t>
      </w:r>
      <w:r w:rsidR="001E1E5F" w:rsidRPr="00476EEC">
        <w:rPr>
          <w:color w:val="000000" w:themeColor="text1"/>
          <w:shd w:val="clear" w:color="auto" w:fill="FFFFFF"/>
        </w:rPr>
        <w:t>power plants</w:t>
      </w:r>
      <w:r w:rsidR="007C190A" w:rsidRPr="00476EEC">
        <w:rPr>
          <w:color w:val="000000" w:themeColor="text1"/>
          <w:shd w:val="clear" w:color="auto" w:fill="FFFFFF"/>
        </w:rPr>
        <w:t xml:space="preserve">, </w:t>
      </w:r>
      <w:r w:rsidR="009E7DE7" w:rsidRPr="00476EEC">
        <w:rPr>
          <w:color w:val="000000" w:themeColor="text1"/>
          <w:shd w:val="clear" w:color="auto" w:fill="FFFFFF"/>
        </w:rPr>
        <w:t>which</w:t>
      </w:r>
      <w:r w:rsidR="007C190A" w:rsidRPr="00476EEC">
        <w:rPr>
          <w:color w:val="000000" w:themeColor="text1"/>
          <w:shd w:val="clear" w:color="auto" w:fill="FFFFFF"/>
        </w:rPr>
        <w:t xml:space="preserve"> can affect the concentration of PM</w:t>
      </w:r>
      <w:r w:rsidR="007C190A" w:rsidRPr="00476EEC">
        <w:rPr>
          <w:color w:val="000000" w:themeColor="text1"/>
          <w:shd w:val="clear" w:color="auto" w:fill="FFFFFF"/>
          <w:vertAlign w:val="subscript"/>
        </w:rPr>
        <w:t>2.5</w:t>
      </w:r>
      <w:r w:rsidR="00344B2B" w:rsidRPr="00344B2B">
        <w:rPr>
          <w:color w:val="000000" w:themeColor="text1"/>
          <w:shd w:val="clear" w:color="auto" w:fill="FFFFFF"/>
        </w:rPr>
        <w:t>,</w:t>
      </w:r>
      <w:r w:rsidR="00344B2B">
        <w:rPr>
          <w:color w:val="000000" w:themeColor="text1"/>
          <w:shd w:val="clear" w:color="auto" w:fill="FFFFFF"/>
          <w:vertAlign w:val="subscript"/>
        </w:rPr>
        <w:t xml:space="preserve"> </w:t>
      </w:r>
      <w:r w:rsidR="007C190A" w:rsidRPr="00476EEC">
        <w:rPr>
          <w:color w:val="000000" w:themeColor="text1"/>
          <w:shd w:val="clear" w:color="auto" w:fill="FFFFFF"/>
        </w:rPr>
        <w:t xml:space="preserve">are </w:t>
      </w:r>
      <w:r w:rsidR="009E7DE7" w:rsidRPr="00476EEC">
        <w:rPr>
          <w:color w:val="000000" w:themeColor="text1"/>
          <w:shd w:val="clear" w:color="auto" w:fill="FFFFFF"/>
        </w:rPr>
        <w:t xml:space="preserve">also </w:t>
      </w:r>
      <w:r w:rsidR="007C190A" w:rsidRPr="00476EEC">
        <w:rPr>
          <w:color w:val="000000" w:themeColor="text1"/>
          <w:shd w:val="clear" w:color="auto" w:fill="FFFFFF"/>
        </w:rPr>
        <w:t>often located in areas away from where large groups of people live, such as in rural towns or industry sectors of larger cities (Advanced Houston Research Center, 2003).</w:t>
      </w:r>
      <w:r w:rsidR="009E7DE7" w:rsidRPr="00476EEC">
        <w:rPr>
          <w:color w:val="000000" w:themeColor="text1"/>
          <w:shd w:val="clear" w:color="auto" w:fill="FFFFFF"/>
        </w:rPr>
        <w:t xml:space="preserve"> The intersection of these two components could, in part, explain the observed relationship between PM</w:t>
      </w:r>
      <w:r w:rsidR="009E7DE7" w:rsidRPr="00476EEC">
        <w:rPr>
          <w:color w:val="000000" w:themeColor="text1"/>
          <w:shd w:val="clear" w:color="auto" w:fill="FFFFFF"/>
          <w:vertAlign w:val="subscript"/>
        </w:rPr>
        <w:t xml:space="preserve">2.5 </w:t>
      </w:r>
      <w:r w:rsidR="009E7DE7" w:rsidRPr="00476EEC">
        <w:rPr>
          <w:color w:val="000000" w:themeColor="text1"/>
          <w:shd w:val="clear" w:color="auto" w:fill="FFFFFF"/>
        </w:rPr>
        <w:t>and TDCJ</w:t>
      </w:r>
      <w:r w:rsidR="001E1E5F" w:rsidRPr="00476EEC">
        <w:rPr>
          <w:color w:val="000000" w:themeColor="text1"/>
          <w:shd w:val="clear" w:color="auto" w:fill="FFFFFF"/>
        </w:rPr>
        <w:t xml:space="preserve"> </w:t>
      </w:r>
      <w:r w:rsidR="00476EEC">
        <w:rPr>
          <w:color w:val="000000" w:themeColor="text1"/>
          <w:shd w:val="clear" w:color="auto" w:fill="FFFFFF"/>
        </w:rPr>
        <w:t>facility</w:t>
      </w:r>
      <w:r w:rsidR="001E1E5F" w:rsidRPr="00476EEC">
        <w:rPr>
          <w:color w:val="000000" w:themeColor="text1"/>
          <w:shd w:val="clear" w:color="auto" w:fill="FFFFFF"/>
        </w:rPr>
        <w:t xml:space="preserve"> </w:t>
      </w:r>
      <w:r w:rsidR="009E7DE7" w:rsidRPr="00476EEC">
        <w:rPr>
          <w:color w:val="000000" w:themeColor="text1"/>
          <w:shd w:val="clear" w:color="auto" w:fill="FFFFFF"/>
        </w:rPr>
        <w:t xml:space="preserve">counties. </w:t>
      </w:r>
    </w:p>
    <w:p w14:paraId="546B20D5" w14:textId="3872325D" w:rsidR="006E4F49" w:rsidRPr="00DF1571" w:rsidRDefault="001E1E5F" w:rsidP="00EF0F55">
      <w:pPr>
        <w:spacing w:line="480" w:lineRule="auto"/>
        <w:ind w:firstLine="720"/>
        <w:rPr>
          <w:color w:val="000000" w:themeColor="text1"/>
          <w:shd w:val="clear" w:color="auto" w:fill="FFFFFF"/>
        </w:rPr>
      </w:pPr>
      <w:r w:rsidRPr="00DF1571">
        <w:rPr>
          <w:color w:val="000000" w:themeColor="text1"/>
          <w:shd w:val="clear" w:color="auto" w:fill="FFFFFF"/>
        </w:rPr>
        <w:t>There</w:t>
      </w:r>
      <w:r w:rsidR="00DF1571">
        <w:rPr>
          <w:color w:val="000000" w:themeColor="text1"/>
          <w:shd w:val="clear" w:color="auto" w:fill="FFFFFF"/>
        </w:rPr>
        <w:t xml:space="preserve"> are also possible </w:t>
      </w:r>
      <w:r w:rsidRPr="00DF1571">
        <w:rPr>
          <w:color w:val="000000" w:themeColor="text1"/>
          <w:shd w:val="clear" w:color="auto" w:fill="FFFFFF"/>
        </w:rPr>
        <w:t>reason</w:t>
      </w:r>
      <w:r w:rsidR="00DF1571">
        <w:rPr>
          <w:color w:val="000000" w:themeColor="text1"/>
          <w:shd w:val="clear" w:color="auto" w:fill="FFFFFF"/>
        </w:rPr>
        <w:t>s</w:t>
      </w:r>
      <w:r w:rsidRPr="00DF1571">
        <w:rPr>
          <w:color w:val="000000" w:themeColor="text1"/>
          <w:shd w:val="clear" w:color="auto" w:fill="FFFFFF"/>
        </w:rPr>
        <w:t xml:space="preserve"> that could explain why </w:t>
      </w:r>
      <w:r w:rsidR="00E81D81" w:rsidRPr="00DF1571">
        <w:rPr>
          <w:color w:val="000000" w:themeColor="text1"/>
          <w:shd w:val="clear" w:color="auto" w:fill="FFFFFF"/>
        </w:rPr>
        <w:t>PM</w:t>
      </w:r>
      <w:r w:rsidR="00E81D81" w:rsidRPr="00DF1571">
        <w:rPr>
          <w:color w:val="000000" w:themeColor="text1"/>
          <w:shd w:val="clear" w:color="auto" w:fill="FFFFFF"/>
          <w:vertAlign w:val="subscript"/>
        </w:rPr>
        <w:t xml:space="preserve">2.5 </w:t>
      </w:r>
      <w:r w:rsidR="00E81D81" w:rsidRPr="00DF1571">
        <w:rPr>
          <w:color w:val="000000" w:themeColor="text1"/>
          <w:shd w:val="clear" w:color="auto" w:fill="FFFFFF"/>
        </w:rPr>
        <w:t xml:space="preserve">levels do not differ in counties with and without non-prison TDCJ facilities. </w:t>
      </w:r>
      <w:r w:rsidR="00DF1571">
        <w:rPr>
          <w:color w:val="000000" w:themeColor="text1"/>
          <w:shd w:val="clear" w:color="auto" w:fill="FFFFFF"/>
        </w:rPr>
        <w:t xml:space="preserve">For </w:t>
      </w:r>
      <w:r w:rsidR="009A426F">
        <w:rPr>
          <w:color w:val="000000" w:themeColor="text1"/>
          <w:shd w:val="clear" w:color="auto" w:fill="FFFFFF"/>
        </w:rPr>
        <w:t>example</w:t>
      </w:r>
      <w:r w:rsidR="00DF1571">
        <w:rPr>
          <w:color w:val="000000" w:themeColor="text1"/>
          <w:shd w:val="clear" w:color="auto" w:fill="FFFFFF"/>
        </w:rPr>
        <w:t xml:space="preserve">, </w:t>
      </w:r>
      <w:r w:rsidR="0045769C">
        <w:rPr>
          <w:color w:val="000000" w:themeColor="text1"/>
          <w:shd w:val="clear" w:color="auto" w:fill="FFFFFF"/>
        </w:rPr>
        <w:t xml:space="preserve">because </w:t>
      </w:r>
      <w:r w:rsidR="00EF0F55" w:rsidRPr="00DF1571">
        <w:rPr>
          <w:color w:val="000000" w:themeColor="text1"/>
          <w:shd w:val="clear" w:color="auto" w:fill="FFFFFF"/>
        </w:rPr>
        <w:t>most of</w:t>
      </w:r>
      <w:r w:rsidR="001C1271" w:rsidRPr="00DF1571">
        <w:rPr>
          <w:color w:val="000000" w:themeColor="text1"/>
          <w:shd w:val="clear" w:color="auto" w:fill="FFFFFF"/>
        </w:rPr>
        <w:t xml:space="preserve"> these facilities are </w:t>
      </w:r>
      <w:r w:rsidR="00F265C9" w:rsidRPr="00DF1571">
        <w:rPr>
          <w:color w:val="000000" w:themeColor="text1"/>
          <w:shd w:val="clear" w:color="auto" w:fill="FFFFFF"/>
        </w:rPr>
        <w:t>State jails with the goals of rehabilitation and treatment for people who committed low-level felonies (</w:t>
      </w:r>
      <w:r w:rsidR="00E44869" w:rsidRPr="00DF1571">
        <w:rPr>
          <w:color w:val="000000" w:themeColor="text1"/>
          <w:shd w:val="clear" w:color="auto" w:fill="FFFFFF"/>
        </w:rPr>
        <w:t>Graves, 2019</w:t>
      </w:r>
      <w:r w:rsidR="00F265C9" w:rsidRPr="00DF1571">
        <w:rPr>
          <w:color w:val="000000" w:themeColor="text1"/>
          <w:shd w:val="clear" w:color="auto" w:fill="FFFFFF"/>
        </w:rPr>
        <w:t xml:space="preserve">), and a large minority of these facilities are </w:t>
      </w:r>
      <w:r w:rsidR="001C1271" w:rsidRPr="00DF1571">
        <w:rPr>
          <w:color w:val="000000" w:themeColor="text1"/>
          <w:shd w:val="clear" w:color="auto" w:fill="FFFFFF"/>
        </w:rPr>
        <w:t xml:space="preserve">reserved for older people and people with existing health concerns, </w:t>
      </w:r>
      <w:r w:rsidR="00F265C9" w:rsidRPr="00DF1571">
        <w:rPr>
          <w:color w:val="000000" w:themeColor="text1"/>
          <w:shd w:val="clear" w:color="auto" w:fill="FFFFFF"/>
        </w:rPr>
        <w:t xml:space="preserve">these facilities may have purposely been </w:t>
      </w:r>
      <w:r w:rsidR="00DF1571" w:rsidRPr="00DF1571">
        <w:rPr>
          <w:color w:val="000000" w:themeColor="text1"/>
          <w:shd w:val="clear" w:color="auto" w:fill="FFFFFF"/>
        </w:rPr>
        <w:t>built</w:t>
      </w:r>
      <w:r w:rsidR="00F265C9" w:rsidRPr="00DF1571">
        <w:rPr>
          <w:color w:val="000000" w:themeColor="text1"/>
          <w:shd w:val="clear" w:color="auto" w:fill="FFFFFF"/>
        </w:rPr>
        <w:t xml:space="preserve"> in areas with better air quality</w:t>
      </w:r>
      <w:r w:rsidR="0045769C">
        <w:rPr>
          <w:color w:val="000000" w:themeColor="text1"/>
          <w:shd w:val="clear" w:color="auto" w:fill="FFFFFF"/>
        </w:rPr>
        <w:t xml:space="preserve">. </w:t>
      </w:r>
      <w:r w:rsidR="00C9257E">
        <w:rPr>
          <w:color w:val="000000" w:themeColor="text1"/>
          <w:shd w:val="clear" w:color="auto" w:fill="FFFFFF"/>
        </w:rPr>
        <w:t>Because</w:t>
      </w:r>
      <w:r w:rsidR="00A02283">
        <w:rPr>
          <w:color w:val="000000" w:themeColor="text1"/>
          <w:shd w:val="clear" w:color="auto" w:fill="FFFFFF"/>
        </w:rPr>
        <w:t xml:space="preserve"> the people living in these facilities are at higher risk of developing new conditions or will be released soon, it is in TDCJ</w:t>
      </w:r>
      <w:r w:rsidR="00EF0F55">
        <w:rPr>
          <w:color w:val="000000" w:themeColor="text1"/>
          <w:shd w:val="clear" w:color="auto" w:fill="FFFFFF"/>
        </w:rPr>
        <w:t>’</w:t>
      </w:r>
      <w:r w:rsidR="00A02283">
        <w:rPr>
          <w:color w:val="000000" w:themeColor="text1"/>
          <w:shd w:val="clear" w:color="auto" w:fill="FFFFFF"/>
        </w:rPr>
        <w:t xml:space="preserve">s interest to do what it can </w:t>
      </w:r>
      <w:r w:rsidR="0045769C">
        <w:rPr>
          <w:color w:val="000000" w:themeColor="text1"/>
          <w:shd w:val="clear" w:color="auto" w:fill="FFFFFF"/>
        </w:rPr>
        <w:t>to avoid the development of new medical conditions</w:t>
      </w:r>
      <w:r w:rsidR="00A02283">
        <w:rPr>
          <w:color w:val="000000" w:themeColor="text1"/>
          <w:shd w:val="clear" w:color="auto" w:fill="FFFFFF"/>
        </w:rPr>
        <w:t xml:space="preserve"> </w:t>
      </w:r>
      <w:r w:rsidR="00EF0F55">
        <w:rPr>
          <w:color w:val="000000" w:themeColor="text1"/>
          <w:shd w:val="clear" w:color="auto" w:fill="FFFFFF"/>
        </w:rPr>
        <w:t>among</w:t>
      </w:r>
      <w:r w:rsidR="00A02283">
        <w:rPr>
          <w:color w:val="000000" w:themeColor="text1"/>
          <w:shd w:val="clear" w:color="auto" w:fill="FFFFFF"/>
        </w:rPr>
        <w:t xml:space="preserve"> these people</w:t>
      </w:r>
      <w:r w:rsidR="00DF1571" w:rsidRPr="00DF1571">
        <w:rPr>
          <w:color w:val="000000" w:themeColor="text1"/>
          <w:shd w:val="clear" w:color="auto" w:fill="FFFFFF"/>
        </w:rPr>
        <w:t xml:space="preserve">. </w:t>
      </w:r>
    </w:p>
    <w:p w14:paraId="62382AFF" w14:textId="4A7795A8" w:rsidR="00582CE3" w:rsidRPr="00B660EE" w:rsidRDefault="00FA020A" w:rsidP="00483A72">
      <w:pPr>
        <w:spacing w:line="480" w:lineRule="auto"/>
        <w:ind w:firstLine="720"/>
        <w:rPr>
          <w:color w:val="000000" w:themeColor="text1"/>
        </w:rPr>
      </w:pPr>
      <w:r w:rsidRPr="00B660EE">
        <w:rPr>
          <w:color w:val="000000" w:themeColor="text1"/>
        </w:rPr>
        <w:t xml:space="preserve">The findings from this study indicate that people serving time in </w:t>
      </w:r>
      <w:r w:rsidRPr="00B660EE">
        <w:rPr>
          <w:color w:val="000000" w:themeColor="text1"/>
          <w:shd w:val="clear" w:color="auto" w:fill="FFFFFF"/>
        </w:rPr>
        <w:t>TDCJ facilities</w:t>
      </w:r>
      <w:r w:rsidR="00EF0F55">
        <w:rPr>
          <w:color w:val="000000" w:themeColor="text1"/>
          <w:shd w:val="clear" w:color="auto" w:fill="FFFFFF"/>
        </w:rPr>
        <w:t xml:space="preserve">, and </w:t>
      </w:r>
      <w:r w:rsidR="00582CE3" w:rsidRPr="00B660EE">
        <w:rPr>
          <w:color w:val="000000" w:themeColor="text1"/>
          <w:shd w:val="clear" w:color="auto" w:fill="FFFFFF"/>
        </w:rPr>
        <w:t xml:space="preserve">particularly prisons </w:t>
      </w:r>
      <w:r w:rsidRPr="00B660EE">
        <w:rPr>
          <w:color w:val="000000" w:themeColor="text1"/>
        </w:rPr>
        <w:t xml:space="preserve">are, in general, likely being exposed to higher levels of </w:t>
      </w:r>
      <w:r w:rsidRPr="00B660EE">
        <w:rPr>
          <w:color w:val="000000" w:themeColor="text1"/>
          <w:shd w:val="clear" w:color="auto" w:fill="FFFFFF"/>
        </w:rPr>
        <w:t>PM</w:t>
      </w:r>
      <w:r w:rsidRPr="00B660EE">
        <w:rPr>
          <w:color w:val="000000" w:themeColor="text1"/>
          <w:shd w:val="clear" w:color="auto" w:fill="FFFFFF"/>
          <w:vertAlign w:val="subscript"/>
        </w:rPr>
        <w:t xml:space="preserve">2.5 </w:t>
      </w:r>
      <w:r w:rsidRPr="00B660EE">
        <w:rPr>
          <w:color w:val="000000" w:themeColor="text1"/>
        </w:rPr>
        <w:t xml:space="preserve">than they would if they were not incarcerated. While some non-incarcerated Texas residents live in these counties and are </w:t>
      </w:r>
      <w:r w:rsidR="00C9257E">
        <w:rPr>
          <w:color w:val="000000" w:themeColor="text1"/>
        </w:rPr>
        <w:t>thus</w:t>
      </w:r>
      <w:r w:rsidRPr="00B660EE">
        <w:rPr>
          <w:color w:val="000000" w:themeColor="text1"/>
        </w:rPr>
        <w:t xml:space="preserve"> being exposed to higher levels of </w:t>
      </w:r>
      <w:r w:rsidRPr="00B660EE">
        <w:rPr>
          <w:color w:val="000000" w:themeColor="text1"/>
          <w:shd w:val="clear" w:color="auto" w:fill="FFFFFF"/>
        </w:rPr>
        <w:t>PM</w:t>
      </w:r>
      <w:r w:rsidRPr="00B660EE">
        <w:rPr>
          <w:color w:val="000000" w:themeColor="text1"/>
          <w:shd w:val="clear" w:color="auto" w:fill="FFFFFF"/>
          <w:vertAlign w:val="subscript"/>
        </w:rPr>
        <w:t>2.5</w:t>
      </w:r>
      <w:r w:rsidR="00C9257E">
        <w:rPr>
          <w:color w:val="000000" w:themeColor="text1"/>
          <w:shd w:val="clear" w:color="auto" w:fill="FFFFFF"/>
          <w:vertAlign w:val="subscript"/>
        </w:rPr>
        <w:t xml:space="preserve"> </w:t>
      </w:r>
      <w:r w:rsidR="00C9257E">
        <w:rPr>
          <w:color w:val="000000" w:themeColor="text1"/>
          <w:shd w:val="clear" w:color="auto" w:fill="FFFFFF"/>
        </w:rPr>
        <w:t>as well</w:t>
      </w:r>
      <w:r w:rsidRPr="00B660EE">
        <w:rPr>
          <w:color w:val="000000" w:themeColor="text1"/>
          <w:shd w:val="clear" w:color="auto" w:fill="FFFFFF"/>
        </w:rPr>
        <w:t xml:space="preserve">, people in </w:t>
      </w:r>
      <w:r w:rsidR="006D5CFD" w:rsidRPr="00B660EE">
        <w:rPr>
          <w:color w:val="000000" w:themeColor="text1"/>
          <w:shd w:val="clear" w:color="auto" w:fill="FFFFFF"/>
        </w:rPr>
        <w:t>TDCJ</w:t>
      </w:r>
      <w:r w:rsidRPr="00B660EE">
        <w:rPr>
          <w:color w:val="000000" w:themeColor="text1"/>
          <w:shd w:val="clear" w:color="auto" w:fill="FFFFFF"/>
        </w:rPr>
        <w:t xml:space="preserve"> facilities </w:t>
      </w:r>
      <w:r w:rsidRPr="00B660EE">
        <w:rPr>
          <w:color w:val="000000" w:themeColor="text1"/>
          <w:shd w:val="clear" w:color="auto" w:fill="FFFFFF"/>
        </w:rPr>
        <w:lastRenderedPageBreak/>
        <w:t>d</w:t>
      </w:r>
      <w:r w:rsidR="006D5CFD" w:rsidRPr="00B660EE">
        <w:rPr>
          <w:color w:val="000000" w:themeColor="text1"/>
          <w:shd w:val="clear" w:color="auto" w:fill="FFFFFF"/>
        </w:rPr>
        <w:t>id not choose to live there and do</w:t>
      </w:r>
      <w:r w:rsidRPr="00B660EE">
        <w:rPr>
          <w:color w:val="000000" w:themeColor="text1"/>
          <w:shd w:val="clear" w:color="auto" w:fill="FFFFFF"/>
        </w:rPr>
        <w:t xml:space="preserve"> not have the choice to move away</w:t>
      </w:r>
      <w:r w:rsidR="00C9257E">
        <w:rPr>
          <w:color w:val="000000" w:themeColor="text1"/>
          <w:shd w:val="clear" w:color="auto" w:fill="FFFFFF"/>
        </w:rPr>
        <w:t>, even if they wanted to</w:t>
      </w:r>
      <w:r w:rsidRPr="00B660EE">
        <w:rPr>
          <w:color w:val="000000" w:themeColor="text1"/>
          <w:shd w:val="clear" w:color="auto" w:fill="FFFFFF"/>
        </w:rPr>
        <w:t>.</w:t>
      </w:r>
      <w:r w:rsidR="006D5CFD" w:rsidRPr="00B660EE">
        <w:rPr>
          <w:color w:val="000000" w:themeColor="text1"/>
          <w:shd w:val="clear" w:color="auto" w:fill="FFFFFF"/>
        </w:rPr>
        <w:t xml:space="preserve"> </w:t>
      </w:r>
      <w:r w:rsidRPr="00B660EE">
        <w:rPr>
          <w:color w:val="000000" w:themeColor="text1"/>
          <w:shd w:val="clear" w:color="auto" w:fill="FFFFFF"/>
        </w:rPr>
        <w:t xml:space="preserve">They must rely on the state to keep them safe. </w:t>
      </w:r>
      <w:r w:rsidR="006D5CFD" w:rsidRPr="00B660EE">
        <w:rPr>
          <w:color w:val="000000" w:themeColor="text1"/>
        </w:rPr>
        <w:t xml:space="preserve">Texas state officials and TDCJ leaders should recognize this and improve </w:t>
      </w:r>
      <w:r w:rsidR="00502BC5" w:rsidRPr="00B660EE">
        <w:rPr>
          <w:color w:val="000000" w:themeColor="text1"/>
        </w:rPr>
        <w:t>conditions of confinement</w:t>
      </w:r>
      <w:r w:rsidR="006D5CFD" w:rsidRPr="00B660EE">
        <w:rPr>
          <w:color w:val="000000" w:themeColor="text1"/>
        </w:rPr>
        <w:t xml:space="preserve"> that will better ensure</w:t>
      </w:r>
      <w:r w:rsidR="00EA3724">
        <w:rPr>
          <w:color w:val="000000" w:themeColor="text1"/>
        </w:rPr>
        <w:t xml:space="preserve"> the health and safety of</w:t>
      </w:r>
      <w:r w:rsidR="006D5CFD" w:rsidRPr="00B660EE">
        <w:rPr>
          <w:color w:val="000000" w:themeColor="text1"/>
        </w:rPr>
        <w:t xml:space="preserve"> </w:t>
      </w:r>
      <w:r w:rsidR="00EA3724">
        <w:rPr>
          <w:color w:val="000000" w:themeColor="text1"/>
        </w:rPr>
        <w:t>incarcerated individuals</w:t>
      </w:r>
      <w:r w:rsidR="003F7FA2" w:rsidRPr="00B660EE">
        <w:rPr>
          <w:color w:val="000000" w:themeColor="text1"/>
        </w:rPr>
        <w:t xml:space="preserve"> and </w:t>
      </w:r>
      <w:r w:rsidR="00EA3724">
        <w:rPr>
          <w:color w:val="000000" w:themeColor="text1"/>
        </w:rPr>
        <w:t xml:space="preserve">facility staff. </w:t>
      </w:r>
      <w:r w:rsidR="00502BC5" w:rsidRPr="00B660EE">
        <w:rPr>
          <w:color w:val="000000" w:themeColor="text1"/>
        </w:rPr>
        <w:t>Some policies that can be changed or implemented i</w:t>
      </w:r>
      <w:r w:rsidR="00284CA7">
        <w:rPr>
          <w:color w:val="000000" w:themeColor="text1"/>
        </w:rPr>
        <w:t>n response to this study i</w:t>
      </w:r>
      <w:r w:rsidR="00502BC5" w:rsidRPr="00B660EE">
        <w:rPr>
          <w:color w:val="000000" w:themeColor="text1"/>
        </w:rPr>
        <w:t>nclude improving healthcare</w:t>
      </w:r>
      <w:r w:rsidR="002B63A6" w:rsidRPr="00B660EE">
        <w:rPr>
          <w:color w:val="000000" w:themeColor="text1"/>
        </w:rPr>
        <w:t xml:space="preserve"> for incarcerated individuals</w:t>
      </w:r>
      <w:r w:rsidR="0011190A">
        <w:rPr>
          <w:color w:val="000000" w:themeColor="text1"/>
        </w:rPr>
        <w:t xml:space="preserve"> and </w:t>
      </w:r>
      <w:r w:rsidR="00223312" w:rsidRPr="00B660EE">
        <w:rPr>
          <w:color w:val="000000" w:themeColor="text1"/>
        </w:rPr>
        <w:t>upgrading air filtration systems in TDCJ facilities</w:t>
      </w:r>
      <w:r w:rsidR="0011190A">
        <w:rPr>
          <w:color w:val="000000" w:themeColor="text1"/>
        </w:rPr>
        <w:t xml:space="preserve">. </w:t>
      </w:r>
    </w:p>
    <w:p w14:paraId="577131DA" w14:textId="715857AA" w:rsidR="00F12EC8" w:rsidRPr="0011190A" w:rsidRDefault="00F12EC8" w:rsidP="0011190A">
      <w:pPr>
        <w:spacing w:line="480" w:lineRule="auto"/>
        <w:ind w:firstLine="720"/>
        <w:rPr>
          <w:color w:val="000000" w:themeColor="text1"/>
        </w:rPr>
      </w:pPr>
      <w:r w:rsidRPr="0011190A">
        <w:rPr>
          <w:color w:val="000000" w:themeColor="text1"/>
        </w:rPr>
        <w:t xml:space="preserve">Currently, the quality of healthcare that TDCJ provides for incarcerated people is not sufficient. </w:t>
      </w:r>
      <w:r w:rsidR="00F41846" w:rsidRPr="0011190A">
        <w:rPr>
          <w:color w:val="000000" w:themeColor="text1"/>
        </w:rPr>
        <w:t xml:space="preserve">In a recent qualitative study, medical trainees in </w:t>
      </w:r>
      <w:r w:rsidR="00D949EA">
        <w:rPr>
          <w:color w:val="000000" w:themeColor="text1"/>
        </w:rPr>
        <w:t xml:space="preserve">Hospital </w:t>
      </w:r>
      <w:r w:rsidR="00F41846" w:rsidRPr="0011190A">
        <w:rPr>
          <w:color w:val="000000" w:themeColor="text1"/>
        </w:rPr>
        <w:t xml:space="preserve">Galveston, </w:t>
      </w:r>
      <w:r w:rsidR="00D949EA">
        <w:rPr>
          <w:color w:val="000000" w:themeColor="text1"/>
        </w:rPr>
        <w:t xml:space="preserve">which is dedicated to treating individuals under TDCJ supervision </w:t>
      </w:r>
      <w:r w:rsidR="00F41846" w:rsidRPr="0011190A">
        <w:rPr>
          <w:color w:val="000000" w:themeColor="text1"/>
          <w:shd w:val="clear" w:color="auto" w:fill="FCFCFC"/>
        </w:rPr>
        <w:t>and supplies 80% of healthcare for TDCJ facilities</w:t>
      </w:r>
      <w:r w:rsidR="00F41846" w:rsidRPr="0011190A">
        <w:rPr>
          <w:color w:val="000000" w:themeColor="text1"/>
        </w:rPr>
        <w:t xml:space="preserve">, reveal patterns of treating incarcerated people poorly (Hashmi et al., 2021). More specifically, the trainees report delays in care and neglect for incarcerated patients. </w:t>
      </w:r>
      <w:r w:rsidRPr="0011190A">
        <w:rPr>
          <w:color w:val="000000" w:themeColor="text1"/>
        </w:rPr>
        <w:t xml:space="preserve">Texas </w:t>
      </w:r>
      <w:r w:rsidR="00B37149" w:rsidRPr="0011190A">
        <w:rPr>
          <w:color w:val="000000" w:themeColor="text1"/>
        </w:rPr>
        <w:t xml:space="preserve">also </w:t>
      </w:r>
      <w:r w:rsidRPr="0011190A">
        <w:rPr>
          <w:color w:val="000000" w:themeColor="text1"/>
        </w:rPr>
        <w:t>spends about 30% less on annual healthcare per person in prison compared to the average cost of annual healthcare per person in prison in the U</w:t>
      </w:r>
      <w:r w:rsidR="00EF0F55">
        <w:rPr>
          <w:color w:val="000000" w:themeColor="text1"/>
        </w:rPr>
        <w:t>.</w:t>
      </w:r>
      <w:r w:rsidRPr="0011190A">
        <w:rPr>
          <w:color w:val="000000" w:themeColor="text1"/>
        </w:rPr>
        <w:t>S</w:t>
      </w:r>
      <w:r w:rsidR="00EF0F55">
        <w:rPr>
          <w:color w:val="000000" w:themeColor="text1"/>
        </w:rPr>
        <w:t>.</w:t>
      </w:r>
      <w:r w:rsidRPr="0011190A">
        <w:rPr>
          <w:color w:val="000000" w:themeColor="text1"/>
        </w:rPr>
        <w:t xml:space="preserve"> (Rao et al., 2021)</w:t>
      </w:r>
      <w:r w:rsidR="00B37149" w:rsidRPr="0011190A">
        <w:rPr>
          <w:color w:val="000000" w:themeColor="text1"/>
        </w:rPr>
        <w:t xml:space="preserve">, suggesting that incarcerated people </w:t>
      </w:r>
      <w:r w:rsidR="00EF0F55">
        <w:rPr>
          <w:color w:val="000000" w:themeColor="text1"/>
        </w:rPr>
        <w:t>might not be able</w:t>
      </w:r>
      <w:r w:rsidR="00B37149" w:rsidRPr="0011190A">
        <w:rPr>
          <w:color w:val="000000" w:themeColor="text1"/>
        </w:rPr>
        <w:t xml:space="preserve"> to get the care they need for their health concerns</w:t>
      </w:r>
      <w:r w:rsidRPr="0011190A">
        <w:rPr>
          <w:color w:val="000000" w:themeColor="text1"/>
        </w:rPr>
        <w:t xml:space="preserve">. </w:t>
      </w:r>
      <w:r w:rsidR="00B37149" w:rsidRPr="0011190A">
        <w:rPr>
          <w:color w:val="000000" w:themeColor="text1"/>
        </w:rPr>
        <w:t>To further demonstrate this point,</w:t>
      </w:r>
      <w:r w:rsidRPr="0011190A">
        <w:rPr>
          <w:color w:val="000000" w:themeColor="text1"/>
        </w:rPr>
        <w:t xml:space="preserve"> findings from previous research revealed that around one-third of older people in TDCJ facilities were prescribed incorrect medications for their health conditions in 2006 and 2007 (Williams et al., 2010). </w:t>
      </w:r>
      <w:r w:rsidR="00B37149" w:rsidRPr="0011190A">
        <w:rPr>
          <w:color w:val="000000" w:themeColor="text1"/>
        </w:rPr>
        <w:t xml:space="preserve">For individuals incarcerated in TDCJ facilities to </w:t>
      </w:r>
      <w:r w:rsidR="00C9257E">
        <w:rPr>
          <w:color w:val="000000" w:themeColor="text1"/>
        </w:rPr>
        <w:t>obtain</w:t>
      </w:r>
      <w:r w:rsidR="00B37149" w:rsidRPr="0011190A">
        <w:rPr>
          <w:color w:val="000000" w:themeColor="text1"/>
        </w:rPr>
        <w:t xml:space="preserve"> the care they require, including care for environmental-justice-related health problems, the state must improve access to adequate healthcare for these people. </w:t>
      </w:r>
    </w:p>
    <w:p w14:paraId="25F4FDC6" w14:textId="5AB18052" w:rsidR="00502BC5" w:rsidRPr="00FC3105" w:rsidRDefault="001C1271" w:rsidP="00483A72">
      <w:pPr>
        <w:spacing w:line="480" w:lineRule="auto"/>
        <w:ind w:firstLine="720"/>
        <w:rPr>
          <w:color w:val="FF0000"/>
        </w:rPr>
      </w:pPr>
      <w:r w:rsidRPr="00547766">
        <w:rPr>
          <w:color w:val="000000" w:themeColor="text1"/>
        </w:rPr>
        <w:t>Another</w:t>
      </w:r>
      <w:r w:rsidR="0011190A" w:rsidRPr="00547766">
        <w:rPr>
          <w:color w:val="000000" w:themeColor="text1"/>
        </w:rPr>
        <w:t xml:space="preserve"> polic</w:t>
      </w:r>
      <w:r w:rsidRPr="00547766">
        <w:rPr>
          <w:color w:val="000000" w:themeColor="text1"/>
        </w:rPr>
        <w:t>y</w:t>
      </w:r>
      <w:r w:rsidR="0011190A" w:rsidRPr="00547766">
        <w:rPr>
          <w:color w:val="000000" w:themeColor="text1"/>
        </w:rPr>
        <w:t xml:space="preserve"> that can be implemented in response to the current study’s findings </w:t>
      </w:r>
      <w:r w:rsidRPr="00547766">
        <w:rPr>
          <w:color w:val="000000" w:themeColor="text1"/>
        </w:rPr>
        <w:t xml:space="preserve">is </w:t>
      </w:r>
      <w:r w:rsidR="0011190A" w:rsidRPr="00547766">
        <w:rPr>
          <w:color w:val="000000" w:themeColor="text1"/>
        </w:rPr>
        <w:t xml:space="preserve">improving air </w:t>
      </w:r>
      <w:r w:rsidR="00E35563" w:rsidRPr="00547766">
        <w:rPr>
          <w:color w:val="000000" w:themeColor="text1"/>
        </w:rPr>
        <w:t>filtration</w:t>
      </w:r>
      <w:r w:rsidR="0011190A" w:rsidRPr="00547766">
        <w:rPr>
          <w:color w:val="000000" w:themeColor="text1"/>
        </w:rPr>
        <w:t xml:space="preserve"> systems </w:t>
      </w:r>
      <w:r w:rsidR="00A87C3A" w:rsidRPr="00547766">
        <w:rPr>
          <w:color w:val="000000" w:themeColor="text1"/>
        </w:rPr>
        <w:t xml:space="preserve">within TDCJ facilities. While the information on current air filtration systems at TDCJ facilities is not publicly </w:t>
      </w:r>
      <w:r w:rsidR="00441830">
        <w:rPr>
          <w:color w:val="000000" w:themeColor="text1"/>
        </w:rPr>
        <w:t>available</w:t>
      </w:r>
      <w:r w:rsidR="00A87C3A" w:rsidRPr="00547766">
        <w:rPr>
          <w:color w:val="000000" w:themeColor="text1"/>
        </w:rPr>
        <w:t xml:space="preserve">, </w:t>
      </w:r>
      <w:r w:rsidR="00FC3105" w:rsidRPr="00547766">
        <w:rPr>
          <w:color w:val="000000" w:themeColor="text1"/>
        </w:rPr>
        <w:t xml:space="preserve">a 2015 study reported that most modern air purifying technology does not have the ability to filter </w:t>
      </w:r>
      <w:r w:rsidR="00FC3105" w:rsidRPr="00431102">
        <w:t>PM</w:t>
      </w:r>
      <w:r w:rsidR="00FC3105" w:rsidRPr="00C124DE">
        <w:rPr>
          <w:vertAlign w:val="subscript"/>
        </w:rPr>
        <w:t>2.5</w:t>
      </w:r>
      <w:r w:rsidR="00FC3105">
        <w:rPr>
          <w:vertAlign w:val="subscript"/>
        </w:rPr>
        <w:t xml:space="preserve"> </w:t>
      </w:r>
      <w:r w:rsidR="00FC3105">
        <w:t xml:space="preserve">particles effectively (Liu </w:t>
      </w:r>
      <w:r w:rsidR="00FC3105">
        <w:lastRenderedPageBreak/>
        <w:t xml:space="preserve">et al., 2015). </w:t>
      </w:r>
      <w:r w:rsidR="00441830">
        <w:t>R</w:t>
      </w:r>
      <w:r w:rsidR="00FC3105">
        <w:t xml:space="preserve">ecently developed nanofiber materials have been shown to remove 95% of </w:t>
      </w:r>
      <w:r w:rsidR="00FC3105" w:rsidRPr="00431102">
        <w:t>PM</w:t>
      </w:r>
      <w:r w:rsidR="00FC3105" w:rsidRPr="00C124DE">
        <w:rPr>
          <w:vertAlign w:val="subscript"/>
        </w:rPr>
        <w:t>2.5</w:t>
      </w:r>
      <w:r w:rsidR="00441830">
        <w:t xml:space="preserve">, however </w:t>
      </w:r>
      <w:r w:rsidR="00FC3105">
        <w:t xml:space="preserve">(Liu et al., 2015; Zhao et al., 2016). </w:t>
      </w:r>
      <w:r w:rsidR="00DB0EEA">
        <w:t xml:space="preserve">As these materials are </w:t>
      </w:r>
      <w:r w:rsidR="00EF0F55">
        <w:t>very new</w:t>
      </w:r>
      <w:r w:rsidR="00DB0EEA">
        <w:t xml:space="preserve"> and are likely expensive and difficult to access, TDCJ officials could consider an easier solution which is providing people in TDCJ facilities with N95 masks, which have also been shown to prevent some exposure to </w:t>
      </w:r>
      <w:r w:rsidR="00DB0EEA" w:rsidRPr="00431102">
        <w:t>PM</w:t>
      </w:r>
      <w:r w:rsidR="00DB0EEA" w:rsidRPr="00C124DE">
        <w:rPr>
          <w:vertAlign w:val="subscript"/>
        </w:rPr>
        <w:t>2.5</w:t>
      </w:r>
      <w:r w:rsidR="00DB0EEA">
        <w:rPr>
          <w:vertAlign w:val="subscript"/>
        </w:rPr>
        <w:t xml:space="preserve"> </w:t>
      </w:r>
      <w:r w:rsidR="00DB0EEA">
        <w:t>particles (</w:t>
      </w:r>
      <w:r w:rsidR="002126ED">
        <w:t>Li &amp; Gong, 2015</w:t>
      </w:r>
      <w:r w:rsidR="00DB0EEA">
        <w:t>)</w:t>
      </w:r>
      <w:r w:rsidR="002126ED">
        <w:t xml:space="preserve">. </w:t>
      </w:r>
      <w:r w:rsidR="00441830">
        <w:t xml:space="preserve">Incarcerated individuals could decide for themselves when they wear these masks and could have them taken away </w:t>
      </w:r>
      <w:r w:rsidR="00707F6A">
        <w:t>if the masks present a security risk.</w:t>
      </w:r>
      <w:r w:rsidR="00441830">
        <w:t xml:space="preserve"> </w:t>
      </w:r>
      <w:r w:rsidR="002126ED">
        <w:t xml:space="preserve">Due to the COVID-19 pandemic, TDCJ is currently issuing masks to </w:t>
      </w:r>
      <w:r w:rsidR="00870FA1">
        <w:t>incarcerated people</w:t>
      </w:r>
      <w:r w:rsidR="002126ED">
        <w:t xml:space="preserve"> and staff but the type of mask (surgical, cloth, N95) depends on the medical needs of each </w:t>
      </w:r>
      <w:r w:rsidR="00267E3B">
        <w:t>person</w:t>
      </w:r>
      <w:r w:rsidR="00441830">
        <w:t xml:space="preserve"> and availability of resources</w:t>
      </w:r>
      <w:r w:rsidR="00267E3B">
        <w:t>,</w:t>
      </w:r>
      <w:r w:rsidR="002126ED">
        <w:t xml:space="preserve"> so not everyone has access to N95s</w:t>
      </w:r>
      <w:r w:rsidR="00441830">
        <w:t>, and it is unclear how these masks are distributed</w:t>
      </w:r>
      <w:r w:rsidR="002126ED">
        <w:t xml:space="preserve"> (</w:t>
      </w:r>
      <w:r w:rsidR="002126ED" w:rsidRPr="002126ED">
        <w:t>COVID-19 Frequently Asked Questions</w:t>
      </w:r>
      <w:r w:rsidR="002126ED">
        <w:t xml:space="preserve">, n.d.). </w:t>
      </w:r>
    </w:p>
    <w:p w14:paraId="58DEEA39" w14:textId="57494BDF" w:rsidR="00D5143E" w:rsidRPr="00135604" w:rsidRDefault="00B31980" w:rsidP="00135604">
      <w:pPr>
        <w:spacing w:line="480" w:lineRule="auto"/>
        <w:ind w:firstLine="720"/>
        <w:rPr>
          <w:color w:val="000000" w:themeColor="text1"/>
        </w:rPr>
      </w:pPr>
      <w:r>
        <w:t>While this study addresses an important gap in the research on environmental injustices in correctional settings, there are some limitations that should be</w:t>
      </w:r>
      <w:r w:rsidR="00223312">
        <w:t xml:space="preserve"> mentioned</w:t>
      </w:r>
      <w:r>
        <w:t>.</w:t>
      </w:r>
      <w:r w:rsidR="00F13DC4">
        <w:t xml:space="preserve"> First</w:t>
      </w:r>
      <w:r w:rsidR="00D82B3D">
        <w:t>,</w:t>
      </w:r>
      <w:r w:rsidR="00A849CA">
        <w:t xml:space="preserve"> this study uses a cross-sectional design</w:t>
      </w:r>
      <w:r w:rsidR="00D82B3D">
        <w:t>,</w:t>
      </w:r>
      <w:r w:rsidR="00A849CA">
        <w:t xml:space="preserve"> and therefore</w:t>
      </w:r>
      <w:r w:rsidR="00F13DC4">
        <w:t>,</w:t>
      </w:r>
      <w:r w:rsidR="00A849CA">
        <w:t xml:space="preserve"> it is not possible to conclude if </w:t>
      </w:r>
      <w:r w:rsidR="00707F6A">
        <w:t xml:space="preserve">TDCJ facilities cause </w:t>
      </w:r>
      <w:r w:rsidR="00A849CA" w:rsidRPr="00431102">
        <w:t>PM</w:t>
      </w:r>
      <w:r w:rsidR="00A849CA" w:rsidRPr="00F13DC4">
        <w:rPr>
          <w:vertAlign w:val="subscript"/>
        </w:rPr>
        <w:t>2.5</w:t>
      </w:r>
      <w:r w:rsidR="00707F6A">
        <w:rPr>
          <w:vertAlign w:val="subscript"/>
        </w:rPr>
        <w:t xml:space="preserve"> </w:t>
      </w:r>
      <w:r w:rsidR="00707F6A">
        <w:t>to increase in the surrounding area</w:t>
      </w:r>
      <w:r w:rsidR="00A849CA">
        <w:t>. Second,</w:t>
      </w:r>
      <w:r w:rsidR="00F13DC4">
        <w:t xml:space="preserve"> even though TDCJ counties have higher concentrations of </w:t>
      </w:r>
      <w:r w:rsidR="00F13DC4" w:rsidRPr="00431102">
        <w:t>PM</w:t>
      </w:r>
      <w:r w:rsidR="00F13DC4" w:rsidRPr="00F13DC4">
        <w:rPr>
          <w:vertAlign w:val="subscript"/>
        </w:rPr>
        <w:t xml:space="preserve">2.5, </w:t>
      </w:r>
      <w:r w:rsidR="00F13DC4">
        <w:t xml:space="preserve">it remains unknown what effect, if any, higher exposure to </w:t>
      </w:r>
      <w:r w:rsidR="00F13DC4" w:rsidRPr="00431102">
        <w:t>PM</w:t>
      </w:r>
      <w:r w:rsidR="00F13DC4" w:rsidRPr="00F13DC4">
        <w:rPr>
          <w:vertAlign w:val="subscript"/>
        </w:rPr>
        <w:t xml:space="preserve">2.5 </w:t>
      </w:r>
      <w:r w:rsidR="00F13DC4">
        <w:t>has on the health of individuals in TDCJ facilities.</w:t>
      </w:r>
      <w:r w:rsidR="00C124DE">
        <w:t xml:space="preserve"> </w:t>
      </w:r>
      <w:r w:rsidR="00A849CA">
        <w:t>Next</w:t>
      </w:r>
      <w:r w:rsidR="00C124DE">
        <w:t xml:space="preserve">, this study uses </w:t>
      </w:r>
      <w:r w:rsidR="00477C1D">
        <w:t>county</w:t>
      </w:r>
      <w:r w:rsidR="00C124DE">
        <w:t xml:space="preserve"> levels of </w:t>
      </w:r>
      <w:r w:rsidR="00C124DE" w:rsidRPr="00431102">
        <w:t>PM</w:t>
      </w:r>
      <w:r w:rsidR="00C124DE" w:rsidRPr="00C124DE">
        <w:rPr>
          <w:vertAlign w:val="subscript"/>
        </w:rPr>
        <w:t xml:space="preserve">2.5 </w:t>
      </w:r>
      <w:r w:rsidR="00C124DE">
        <w:t xml:space="preserve">but levels </w:t>
      </w:r>
      <w:r w:rsidR="00477C1D">
        <w:t>might</w:t>
      </w:r>
      <w:r w:rsidR="00C124DE">
        <w:t xml:space="preserve"> vary</w:t>
      </w:r>
      <w:r w:rsidR="00477C1D">
        <w:t xml:space="preserve"> from one </w:t>
      </w:r>
      <w:r w:rsidR="006E0F24">
        <w:t>end</w:t>
      </w:r>
      <w:r w:rsidR="00477C1D">
        <w:t xml:space="preserve"> of a county to another, especially in larger counties</w:t>
      </w:r>
      <w:r w:rsidR="00C124DE">
        <w:t>.</w:t>
      </w:r>
      <w:r w:rsidR="00477C1D">
        <w:t xml:space="preserve"> Past research indicates that </w:t>
      </w:r>
      <w:r w:rsidR="00477C1D" w:rsidRPr="00431102">
        <w:t>PM</w:t>
      </w:r>
      <w:r w:rsidR="00477C1D" w:rsidRPr="00F13DC4">
        <w:rPr>
          <w:vertAlign w:val="subscript"/>
        </w:rPr>
        <w:t>2.5</w:t>
      </w:r>
      <w:r w:rsidR="00477C1D">
        <w:rPr>
          <w:vertAlign w:val="subscript"/>
        </w:rPr>
        <w:t xml:space="preserve"> </w:t>
      </w:r>
      <w:r w:rsidR="00477C1D">
        <w:t xml:space="preserve">can be accurately estimated up to 10 kilometers, or about six miles away </w:t>
      </w:r>
      <w:r w:rsidR="006E0F24">
        <w:t xml:space="preserve">in any direction </w:t>
      </w:r>
      <w:r w:rsidR="00477C1D">
        <w:t xml:space="preserve">from the location in which </w:t>
      </w:r>
      <w:r w:rsidR="00477C1D" w:rsidRPr="00431102">
        <w:t>PM</w:t>
      </w:r>
      <w:r w:rsidR="00477C1D" w:rsidRPr="00F13DC4">
        <w:rPr>
          <w:vertAlign w:val="subscript"/>
        </w:rPr>
        <w:t>2.5</w:t>
      </w:r>
      <w:r w:rsidR="00477C1D">
        <w:rPr>
          <w:vertAlign w:val="subscript"/>
        </w:rPr>
        <w:t xml:space="preserve"> </w:t>
      </w:r>
      <w:r w:rsidR="00477C1D">
        <w:t>was measured (</w:t>
      </w:r>
      <w:r w:rsidR="006E0F24">
        <w:t>Fang et al., 2016</w:t>
      </w:r>
      <w:r w:rsidR="00477C1D">
        <w:t xml:space="preserve">). Thus, if </w:t>
      </w:r>
      <w:r w:rsidR="00477C1D" w:rsidRPr="00431102">
        <w:t>PM</w:t>
      </w:r>
      <w:r w:rsidR="00477C1D" w:rsidRPr="00F13DC4">
        <w:rPr>
          <w:vertAlign w:val="subscript"/>
        </w:rPr>
        <w:t>2.5</w:t>
      </w:r>
      <w:r w:rsidR="00477C1D">
        <w:rPr>
          <w:vertAlign w:val="subscript"/>
        </w:rPr>
        <w:t xml:space="preserve"> </w:t>
      </w:r>
      <w:r w:rsidR="00477C1D">
        <w:t xml:space="preserve">monitoring devices are several miles from the TDCJ facilities, then the true concentration of </w:t>
      </w:r>
      <w:r w:rsidR="00477C1D" w:rsidRPr="00431102">
        <w:t>PM</w:t>
      </w:r>
      <w:r w:rsidR="00477C1D" w:rsidRPr="00F13DC4">
        <w:rPr>
          <w:vertAlign w:val="subscript"/>
        </w:rPr>
        <w:t>2.5</w:t>
      </w:r>
      <w:r w:rsidR="00477C1D">
        <w:rPr>
          <w:vertAlign w:val="subscript"/>
        </w:rPr>
        <w:t xml:space="preserve"> </w:t>
      </w:r>
      <w:r w:rsidR="00477C1D">
        <w:t xml:space="preserve">might be different at these facilities. </w:t>
      </w:r>
      <w:r w:rsidR="004F72EB" w:rsidRPr="00D5143E">
        <w:rPr>
          <w:color w:val="000000" w:themeColor="text1"/>
        </w:rPr>
        <w:t>Although PM</w:t>
      </w:r>
      <w:r w:rsidR="004F72EB" w:rsidRPr="00D5143E">
        <w:rPr>
          <w:color w:val="000000" w:themeColor="text1"/>
          <w:vertAlign w:val="subscript"/>
        </w:rPr>
        <w:t xml:space="preserve">2.5 </w:t>
      </w:r>
      <w:r w:rsidR="004F72EB" w:rsidRPr="00D5143E">
        <w:rPr>
          <w:color w:val="000000" w:themeColor="text1"/>
        </w:rPr>
        <w:t xml:space="preserve">data are available </w:t>
      </w:r>
      <w:r w:rsidR="00A47021">
        <w:rPr>
          <w:color w:val="000000" w:themeColor="text1"/>
        </w:rPr>
        <w:t>at</w:t>
      </w:r>
      <w:r w:rsidR="004F72EB" w:rsidRPr="00D5143E">
        <w:rPr>
          <w:color w:val="000000" w:themeColor="text1"/>
        </w:rPr>
        <w:t xml:space="preserve"> smaller geographical units, including census tracts </w:t>
      </w:r>
      <w:r w:rsidR="004F72EB" w:rsidRPr="00BA525D">
        <w:rPr>
          <w:color w:val="000000" w:themeColor="text1"/>
        </w:rPr>
        <w:t>(</w:t>
      </w:r>
      <w:r w:rsidR="00BB120C">
        <w:rPr>
          <w:color w:val="000000" w:themeColor="text1"/>
        </w:rPr>
        <w:t xml:space="preserve">U.S. </w:t>
      </w:r>
      <w:r w:rsidR="00BA525D" w:rsidRPr="00BA525D">
        <w:rPr>
          <w:color w:val="000000" w:themeColor="text1"/>
        </w:rPr>
        <w:t>Environmental Protection Agency, 2022a</w:t>
      </w:r>
      <w:r w:rsidR="004F72EB" w:rsidRPr="00BA525D">
        <w:rPr>
          <w:color w:val="000000" w:themeColor="text1"/>
        </w:rPr>
        <w:t>),</w:t>
      </w:r>
      <w:r w:rsidR="00D5143E" w:rsidRPr="00BA525D">
        <w:rPr>
          <w:color w:val="000000" w:themeColor="text1"/>
        </w:rPr>
        <w:t xml:space="preserve"> </w:t>
      </w:r>
      <w:r w:rsidR="00D5143E" w:rsidRPr="00D5143E">
        <w:rPr>
          <w:color w:val="000000" w:themeColor="text1"/>
          <w:shd w:val="clear" w:color="auto" w:fill="FFFFFF"/>
        </w:rPr>
        <w:t xml:space="preserve">most census tracts in Texas do not have a </w:t>
      </w:r>
      <w:r w:rsidR="00D5143E" w:rsidRPr="00D5143E">
        <w:rPr>
          <w:color w:val="000000" w:themeColor="text1"/>
        </w:rPr>
        <w:t>PM</w:t>
      </w:r>
      <w:r w:rsidR="00D5143E" w:rsidRPr="00D5143E">
        <w:rPr>
          <w:color w:val="000000" w:themeColor="text1"/>
          <w:vertAlign w:val="subscript"/>
        </w:rPr>
        <w:t xml:space="preserve">2.5 </w:t>
      </w:r>
      <w:r w:rsidR="00D5143E" w:rsidRPr="00D5143E">
        <w:rPr>
          <w:color w:val="000000" w:themeColor="text1"/>
          <w:shd w:val="clear" w:color="auto" w:fill="FFFFFF"/>
        </w:rPr>
        <w:t xml:space="preserve">monitoring station and therefore, a large portion of </w:t>
      </w:r>
      <w:r w:rsidR="00D5143E" w:rsidRPr="00D5143E">
        <w:rPr>
          <w:color w:val="000000" w:themeColor="text1"/>
          <w:shd w:val="clear" w:color="auto" w:fill="FFFFFF"/>
        </w:rPr>
        <w:lastRenderedPageBreak/>
        <w:t xml:space="preserve">this census-tract level data is imputed. </w:t>
      </w:r>
      <w:r w:rsidR="00A47021">
        <w:rPr>
          <w:color w:val="000000" w:themeColor="text1"/>
          <w:shd w:val="clear" w:color="auto" w:fill="FFFFFF"/>
        </w:rPr>
        <w:t xml:space="preserve">It is unknown how accurate </w:t>
      </w:r>
      <w:r w:rsidR="00D5143E" w:rsidRPr="00D5143E">
        <w:rPr>
          <w:color w:val="000000" w:themeColor="text1"/>
          <w:shd w:val="clear" w:color="auto" w:fill="FFFFFF"/>
        </w:rPr>
        <w:t>imputed data</w:t>
      </w:r>
      <w:r w:rsidR="00A47021">
        <w:rPr>
          <w:color w:val="000000" w:themeColor="text1"/>
          <w:shd w:val="clear" w:color="auto" w:fill="FFFFFF"/>
        </w:rPr>
        <w:t xml:space="preserve"> </w:t>
      </w:r>
      <w:r w:rsidR="00A47021" w:rsidRPr="00850C52">
        <w:rPr>
          <w:color w:val="000000" w:themeColor="text1"/>
          <w:shd w:val="clear" w:color="auto" w:fill="FFFFFF"/>
        </w:rPr>
        <w:t>for</w:t>
      </w:r>
      <w:r w:rsidR="00D5143E" w:rsidRPr="00850C52">
        <w:rPr>
          <w:color w:val="000000" w:themeColor="text1"/>
          <w:shd w:val="clear" w:color="auto" w:fill="FFFFFF"/>
        </w:rPr>
        <w:t xml:space="preserve"> </w:t>
      </w:r>
      <w:r w:rsidR="00D5143E" w:rsidRPr="00850C52">
        <w:rPr>
          <w:color w:val="000000" w:themeColor="text1"/>
        </w:rPr>
        <w:t>PM</w:t>
      </w:r>
      <w:r w:rsidR="00D5143E" w:rsidRPr="00850C52">
        <w:rPr>
          <w:color w:val="000000" w:themeColor="text1"/>
          <w:vertAlign w:val="subscript"/>
        </w:rPr>
        <w:t xml:space="preserve">2.5 </w:t>
      </w:r>
      <w:r w:rsidR="00D5143E" w:rsidRPr="00850C52">
        <w:rPr>
          <w:color w:val="000000" w:themeColor="text1"/>
        </w:rPr>
        <w:t>levels</w:t>
      </w:r>
      <w:r w:rsidR="00A47021" w:rsidRPr="00850C52">
        <w:rPr>
          <w:color w:val="000000" w:themeColor="text1"/>
        </w:rPr>
        <w:t xml:space="preserve"> are. </w:t>
      </w:r>
      <w:r w:rsidR="00D5143E" w:rsidRPr="00850C52">
        <w:rPr>
          <w:color w:val="000000" w:themeColor="text1"/>
        </w:rPr>
        <w:t>As environmental justice concerns are gaining more popularity among the public (</w:t>
      </w:r>
      <w:r w:rsidR="00850C52" w:rsidRPr="00850C52">
        <w:rPr>
          <w:color w:val="000000" w:themeColor="text1"/>
        </w:rPr>
        <w:t>Funk et al., 2020</w:t>
      </w:r>
      <w:r w:rsidR="00D5143E" w:rsidRPr="00850C52">
        <w:rPr>
          <w:color w:val="000000" w:themeColor="text1"/>
        </w:rPr>
        <w:t>), additional PM</w:t>
      </w:r>
      <w:r w:rsidR="00D5143E" w:rsidRPr="00850C52">
        <w:rPr>
          <w:color w:val="000000" w:themeColor="text1"/>
          <w:vertAlign w:val="subscript"/>
        </w:rPr>
        <w:t xml:space="preserve">2.5 </w:t>
      </w:r>
      <w:r w:rsidR="00D5143E" w:rsidRPr="00850C52">
        <w:rPr>
          <w:color w:val="000000" w:themeColor="text1"/>
        </w:rPr>
        <w:t xml:space="preserve">and other environmental hazard monitoring stations should be installed in </w:t>
      </w:r>
      <w:r w:rsidR="00850C52" w:rsidRPr="00850C52">
        <w:rPr>
          <w:color w:val="000000" w:themeColor="text1"/>
        </w:rPr>
        <w:t>a greater number of</w:t>
      </w:r>
      <w:r w:rsidR="00D5143E" w:rsidRPr="00850C52">
        <w:rPr>
          <w:color w:val="000000" w:themeColor="text1"/>
        </w:rPr>
        <w:t xml:space="preserve"> geographical areas for accurate data collection. </w:t>
      </w:r>
    </w:p>
    <w:p w14:paraId="4D59A63D" w14:textId="0325C40A" w:rsidR="00DD02CB" w:rsidRPr="00610269" w:rsidRDefault="00A849CA" w:rsidP="002D2B0F">
      <w:pPr>
        <w:spacing w:line="480" w:lineRule="auto"/>
        <w:ind w:firstLine="720"/>
      </w:pPr>
      <w:r>
        <w:t>Fourth</w:t>
      </w:r>
      <w:r w:rsidR="00C124DE">
        <w:t xml:space="preserve">, this study does not examine what counties </w:t>
      </w:r>
      <w:r w:rsidR="00EA3724">
        <w:t xml:space="preserve">individuals incarcerated in </w:t>
      </w:r>
      <w:r w:rsidR="00C124DE">
        <w:t xml:space="preserve">TDCJ </w:t>
      </w:r>
      <w:r w:rsidR="00EA3724">
        <w:t xml:space="preserve">facilities </w:t>
      </w:r>
      <w:r w:rsidR="00C124DE">
        <w:t xml:space="preserve">are coming from. It could be that these </w:t>
      </w:r>
      <w:r w:rsidR="00EA3724">
        <w:t>individuals</w:t>
      </w:r>
      <w:r w:rsidR="00C124DE">
        <w:t xml:space="preserve"> are disproportionately coming from counties with higher levels of </w:t>
      </w:r>
      <w:r w:rsidR="00C124DE" w:rsidRPr="00431102">
        <w:t>PM</w:t>
      </w:r>
      <w:r w:rsidR="00C124DE" w:rsidRPr="00F13DC4">
        <w:rPr>
          <w:vertAlign w:val="subscript"/>
        </w:rPr>
        <w:t>2.5</w:t>
      </w:r>
      <w:r w:rsidR="00C124DE">
        <w:rPr>
          <w:vertAlign w:val="subscript"/>
        </w:rPr>
        <w:t xml:space="preserve"> </w:t>
      </w:r>
      <w:r w:rsidR="00C124DE">
        <w:t xml:space="preserve">and are not actually any more likely to get exposed to </w:t>
      </w:r>
      <w:r w:rsidR="00C124DE" w:rsidRPr="00431102">
        <w:t>PM</w:t>
      </w:r>
      <w:r w:rsidR="00C124DE" w:rsidRPr="00F13DC4">
        <w:rPr>
          <w:vertAlign w:val="subscript"/>
        </w:rPr>
        <w:t>2.5</w:t>
      </w:r>
      <w:r w:rsidR="00C124DE">
        <w:rPr>
          <w:vertAlign w:val="subscript"/>
        </w:rPr>
        <w:t xml:space="preserve"> </w:t>
      </w:r>
      <w:r w:rsidR="00C124DE">
        <w:t xml:space="preserve">than they would if they were not sentenced to prison. Future research should examine if </w:t>
      </w:r>
      <w:r w:rsidR="00C124DE" w:rsidRPr="00431102">
        <w:t>PM</w:t>
      </w:r>
      <w:r w:rsidR="00C124DE" w:rsidRPr="00C124DE">
        <w:rPr>
          <w:vertAlign w:val="subscript"/>
        </w:rPr>
        <w:t xml:space="preserve">2.5 </w:t>
      </w:r>
      <w:r w:rsidR="00C124DE">
        <w:t xml:space="preserve">is different in </w:t>
      </w:r>
      <w:r w:rsidR="00EA3724">
        <w:t xml:space="preserve">incarcerated individuals’ </w:t>
      </w:r>
      <w:r w:rsidR="00C124DE">
        <w:t xml:space="preserve">home counties relative to TDCJ counties. </w:t>
      </w:r>
      <w:r w:rsidR="00610269">
        <w:t xml:space="preserve">Lastly, the </w:t>
      </w:r>
      <w:r w:rsidR="00610269" w:rsidRPr="00431102">
        <w:t>PM</w:t>
      </w:r>
      <w:r w:rsidR="00610269" w:rsidRPr="00F13DC4">
        <w:rPr>
          <w:vertAlign w:val="subscript"/>
        </w:rPr>
        <w:t>2.5</w:t>
      </w:r>
      <w:r w:rsidR="00610269">
        <w:rPr>
          <w:vertAlign w:val="subscript"/>
        </w:rPr>
        <w:t xml:space="preserve"> </w:t>
      </w:r>
      <w:r w:rsidR="00610269">
        <w:t xml:space="preserve">used in this study comes from just one year, 2018. As </w:t>
      </w:r>
      <w:r w:rsidR="00610269" w:rsidRPr="00431102">
        <w:t>PM</w:t>
      </w:r>
      <w:r w:rsidR="00610269" w:rsidRPr="00F13DC4">
        <w:rPr>
          <w:vertAlign w:val="subscript"/>
        </w:rPr>
        <w:t>2.5</w:t>
      </w:r>
      <w:r w:rsidR="00610269">
        <w:rPr>
          <w:vertAlign w:val="subscript"/>
        </w:rPr>
        <w:t xml:space="preserve"> </w:t>
      </w:r>
      <w:r w:rsidR="00610269">
        <w:t xml:space="preserve">has decreased substantially </w:t>
      </w:r>
      <w:r w:rsidR="00577D54">
        <w:t xml:space="preserve">over the last few decades (Colmer et al., 2020; </w:t>
      </w:r>
      <w:proofErr w:type="spellStart"/>
      <w:r w:rsidR="00577D54">
        <w:t>Fann</w:t>
      </w:r>
      <w:proofErr w:type="spellEnd"/>
      <w:r w:rsidR="00577D54">
        <w:t xml:space="preserve"> et al., 2018)</w:t>
      </w:r>
      <w:r w:rsidR="00610269">
        <w:t xml:space="preserve">, it might continue decreasing throughout Texas and the entire U.S. as we resort to using cleaner energy sources that do not pollute the atmosphere. Therefore, it is possible that the observed positive relationships between </w:t>
      </w:r>
      <w:r w:rsidR="00610269" w:rsidRPr="00431102">
        <w:t>PM</w:t>
      </w:r>
      <w:r w:rsidR="00610269" w:rsidRPr="00F13DC4">
        <w:rPr>
          <w:vertAlign w:val="subscript"/>
        </w:rPr>
        <w:t>2.</w:t>
      </w:r>
      <w:proofErr w:type="gramStart"/>
      <w:r w:rsidR="00610269" w:rsidRPr="00F13DC4">
        <w:rPr>
          <w:vertAlign w:val="subscript"/>
        </w:rPr>
        <w:t>5</w:t>
      </w:r>
      <w:r w:rsidR="00610269">
        <w:rPr>
          <w:vertAlign w:val="subscript"/>
        </w:rPr>
        <w:t xml:space="preserve">  </w:t>
      </w:r>
      <w:r w:rsidR="00610269">
        <w:t>and</w:t>
      </w:r>
      <w:proofErr w:type="gramEnd"/>
      <w:r w:rsidR="00610269">
        <w:t xml:space="preserve"> TDCJ counties captured in the present analyses might not exist in the future</w:t>
      </w:r>
      <w:r w:rsidR="002219A3">
        <w:t xml:space="preserve"> as </w:t>
      </w:r>
      <w:r w:rsidR="002219A3" w:rsidRPr="00431102">
        <w:t>PM</w:t>
      </w:r>
      <w:r w:rsidR="002219A3" w:rsidRPr="00F13DC4">
        <w:rPr>
          <w:vertAlign w:val="subscript"/>
        </w:rPr>
        <w:t>2.5</w:t>
      </w:r>
      <w:r w:rsidR="002219A3">
        <w:rPr>
          <w:vertAlign w:val="subscript"/>
        </w:rPr>
        <w:t xml:space="preserve">  </w:t>
      </w:r>
      <w:r w:rsidR="002219A3">
        <w:t>continues to decline</w:t>
      </w:r>
      <w:r w:rsidR="00610269">
        <w:t>.</w:t>
      </w:r>
    </w:p>
    <w:p w14:paraId="6A3AD3F4" w14:textId="202D26DB" w:rsidR="007B4C9D" w:rsidRDefault="007B4C9D" w:rsidP="00314B9A">
      <w:pPr>
        <w:spacing w:line="480" w:lineRule="auto"/>
        <w:rPr>
          <w:b/>
          <w:bCs/>
        </w:rPr>
      </w:pPr>
      <w:r w:rsidRPr="007B4C9D">
        <w:rPr>
          <w:b/>
          <w:bCs/>
        </w:rPr>
        <w:t>Conclusion</w:t>
      </w:r>
    </w:p>
    <w:p w14:paraId="645B0876" w14:textId="348C9B4F" w:rsidR="005B6A17" w:rsidRDefault="000B1479" w:rsidP="00314B9A">
      <w:pPr>
        <w:spacing w:line="480" w:lineRule="auto"/>
        <w:rPr>
          <w:b/>
          <w:bCs/>
        </w:rPr>
      </w:pPr>
      <w:r>
        <w:t xml:space="preserve">Overall, the </w:t>
      </w:r>
      <w:r w:rsidR="009143D3">
        <w:t>current study's results provide</w:t>
      </w:r>
      <w:r>
        <w:t xml:space="preserve"> evidence that </w:t>
      </w:r>
      <w:r w:rsidR="00B70C12">
        <w:t>counties</w:t>
      </w:r>
      <w:r>
        <w:t xml:space="preserve"> with </w:t>
      </w:r>
      <w:proofErr w:type="gramStart"/>
      <w:r>
        <w:t>correctional facilities</w:t>
      </w:r>
      <w:proofErr w:type="gramEnd"/>
      <w:r>
        <w:t xml:space="preserve"> experience more instances of environmental injustice</w:t>
      </w:r>
      <w:r w:rsidR="00870FA1">
        <w:t xml:space="preserve">, in this case, </w:t>
      </w:r>
      <w:r w:rsidR="00870FA1" w:rsidRPr="00431102">
        <w:t>PM</w:t>
      </w:r>
      <w:r w:rsidR="00870FA1" w:rsidRPr="00F13DC4">
        <w:rPr>
          <w:vertAlign w:val="subscript"/>
        </w:rPr>
        <w:t>2.5</w:t>
      </w:r>
      <w:r w:rsidR="00870FA1" w:rsidRPr="00870FA1">
        <w:t>,</w:t>
      </w:r>
      <w:r w:rsidR="00870FA1">
        <w:t xml:space="preserve"> than counties without correctional facilities in Texas</w:t>
      </w:r>
      <w:r>
        <w:t xml:space="preserve">. These findings demonstrate the importance of improving </w:t>
      </w:r>
      <w:r w:rsidR="00F34BA2">
        <w:t xml:space="preserve">conditions of confinement such as bettering </w:t>
      </w:r>
      <w:r>
        <w:t xml:space="preserve">healthcare </w:t>
      </w:r>
      <w:r w:rsidR="00870FA1">
        <w:t xml:space="preserve">for incarcerated individuals </w:t>
      </w:r>
      <w:r w:rsidR="00F34BA2">
        <w:t xml:space="preserve">to help address the health </w:t>
      </w:r>
      <w:r w:rsidR="00870FA1">
        <w:t xml:space="preserve">concerns that they experience while under supervision of the criminal legal </w:t>
      </w:r>
      <w:r w:rsidR="00DA39A0">
        <w:t>system</w:t>
      </w:r>
      <w:r w:rsidR="00870FA1">
        <w:t xml:space="preserve">. </w:t>
      </w:r>
    </w:p>
    <w:p w14:paraId="049BC1EB" w14:textId="77777777" w:rsidR="00B85F94" w:rsidRDefault="00B85F94" w:rsidP="00314B9A">
      <w:pPr>
        <w:spacing w:line="480" w:lineRule="auto"/>
        <w:rPr>
          <w:b/>
          <w:bCs/>
        </w:rPr>
      </w:pPr>
    </w:p>
    <w:p w14:paraId="4FF8F2B8" w14:textId="753005DE" w:rsidR="008C34E0" w:rsidRPr="00472CC9" w:rsidRDefault="008C34E0" w:rsidP="00314B9A">
      <w:pPr>
        <w:spacing w:line="480" w:lineRule="auto"/>
      </w:pPr>
      <w:r>
        <w:rPr>
          <w:b/>
          <w:bCs/>
        </w:rPr>
        <w:lastRenderedPageBreak/>
        <w:t>References</w:t>
      </w:r>
    </w:p>
    <w:p w14:paraId="2C260662" w14:textId="65D7E4F8" w:rsidR="004746F7" w:rsidRPr="004746F7" w:rsidRDefault="004746F7" w:rsidP="004746F7">
      <w:pPr>
        <w:ind w:left="562" w:hanging="562"/>
      </w:pPr>
      <w:r w:rsidRPr="004746F7">
        <w:t xml:space="preserve">Advanced Houston Research Center. (2003, January). </w:t>
      </w:r>
      <w:r w:rsidRPr="004746F7">
        <w:rPr>
          <w:i/>
          <w:iCs/>
        </w:rPr>
        <w:t>Third edition guide to electric power in Texas</w:t>
      </w:r>
      <w:r w:rsidRPr="004746F7">
        <w:t xml:space="preserve">. The University of Texas at Austin. Retrieved April 30, 2022, from https://www.beg.utexas.edu/files/cee/legacy/guide_electric_power_texas_2003.pdf </w:t>
      </w:r>
    </w:p>
    <w:p w14:paraId="5C16B031" w14:textId="4F44D975" w:rsidR="00300C47" w:rsidRPr="00300C47" w:rsidRDefault="00300C47" w:rsidP="00C00563">
      <w:proofErr w:type="spellStart"/>
      <w:r w:rsidRPr="005151BA">
        <w:rPr>
          <w:color w:val="222222"/>
          <w:shd w:val="clear" w:color="auto" w:fill="FFFFFF"/>
        </w:rPr>
        <w:t>Apte</w:t>
      </w:r>
      <w:proofErr w:type="spellEnd"/>
      <w:r w:rsidRPr="005151BA">
        <w:rPr>
          <w:color w:val="222222"/>
          <w:shd w:val="clear" w:color="auto" w:fill="FFFFFF"/>
        </w:rPr>
        <w:t xml:space="preserve">, J. S., Marshall, J. D., Cohen, A. J., &amp; Brauer, M. (2015). Addressing global mortality from </w:t>
      </w:r>
      <w:r>
        <w:rPr>
          <w:color w:val="222222"/>
          <w:shd w:val="clear" w:color="auto" w:fill="FFFFFF"/>
        </w:rPr>
        <w:tab/>
      </w:r>
      <w:r w:rsidRPr="005151BA">
        <w:rPr>
          <w:color w:val="222222"/>
          <w:shd w:val="clear" w:color="auto" w:fill="FFFFFF"/>
        </w:rPr>
        <w:t>ambient PM2. 5. </w:t>
      </w:r>
      <w:r w:rsidRPr="005151BA">
        <w:rPr>
          <w:i/>
          <w:iCs/>
          <w:color w:val="222222"/>
          <w:shd w:val="clear" w:color="auto" w:fill="FFFFFF"/>
        </w:rPr>
        <w:t xml:space="preserve">Environmental </w:t>
      </w:r>
      <w:r>
        <w:rPr>
          <w:i/>
          <w:iCs/>
          <w:color w:val="222222"/>
          <w:shd w:val="clear" w:color="auto" w:fill="FFFFFF"/>
        </w:rPr>
        <w:t>S</w:t>
      </w:r>
      <w:r w:rsidRPr="005151BA">
        <w:rPr>
          <w:i/>
          <w:iCs/>
          <w:color w:val="222222"/>
          <w:shd w:val="clear" w:color="auto" w:fill="FFFFFF"/>
        </w:rPr>
        <w:t xml:space="preserve">cience &amp; </w:t>
      </w:r>
      <w:r>
        <w:rPr>
          <w:i/>
          <w:iCs/>
          <w:color w:val="222222"/>
          <w:shd w:val="clear" w:color="auto" w:fill="FFFFFF"/>
        </w:rPr>
        <w:t>T</w:t>
      </w:r>
      <w:r w:rsidRPr="005151BA">
        <w:rPr>
          <w:i/>
          <w:iCs/>
          <w:color w:val="222222"/>
          <w:shd w:val="clear" w:color="auto" w:fill="FFFFFF"/>
        </w:rPr>
        <w:t>echnology</w:t>
      </w:r>
      <w:r w:rsidRPr="005151BA">
        <w:rPr>
          <w:color w:val="222222"/>
          <w:shd w:val="clear" w:color="auto" w:fill="FFFFFF"/>
        </w:rPr>
        <w:t>, </w:t>
      </w:r>
      <w:r w:rsidRPr="005151BA">
        <w:rPr>
          <w:i/>
          <w:iCs/>
          <w:color w:val="222222"/>
          <w:shd w:val="clear" w:color="auto" w:fill="FFFFFF"/>
        </w:rPr>
        <w:t>49</w:t>
      </w:r>
      <w:r w:rsidRPr="005151BA">
        <w:rPr>
          <w:color w:val="222222"/>
          <w:shd w:val="clear" w:color="auto" w:fill="FFFFFF"/>
        </w:rPr>
        <w:t>(13), 8057-8066.</w:t>
      </w:r>
    </w:p>
    <w:p w14:paraId="1FC03881" w14:textId="0D2086A3" w:rsidR="008C34E0" w:rsidRDefault="008C34E0" w:rsidP="00C00563">
      <w:pPr>
        <w:pStyle w:val="NormalWeb"/>
        <w:spacing w:before="0" w:beforeAutospacing="0" w:after="0" w:afterAutospacing="0"/>
        <w:ind w:left="567" w:hanging="567"/>
      </w:pPr>
      <w:r>
        <w:t>Assistant Secr</w:t>
      </w:r>
      <w:r w:rsidR="006125B4">
        <w:t>etary for Health.</w:t>
      </w:r>
      <w:r>
        <w:t xml:space="preserve"> (2021, August 27). </w:t>
      </w:r>
      <w:r>
        <w:rPr>
          <w:i/>
          <w:iCs/>
        </w:rPr>
        <w:t>Environmental justice</w:t>
      </w:r>
      <w:r>
        <w:t xml:space="preserve">. HHS.gov. Retrieved March 29, 2022, from </w:t>
      </w:r>
      <w:hyperlink r:id="rId8" w:anchor=":~:text=Environmental%20Justice%20(EJ)%20is%20the,laws%2C%20regulations%2C%20and%20policies" w:history="1">
        <w:r w:rsidR="006868B8" w:rsidRPr="0090033E">
          <w:rPr>
            <w:rStyle w:val="Hyperlink"/>
          </w:rPr>
          <w:t>https://www.hhs.gov/environmental-justice/index.html#:~:text=Environmental%20Justice%20(EJ)%20is%20the,laws%2C%20regulations%2C%20and%20policies</w:t>
        </w:r>
      </w:hyperlink>
      <w:r>
        <w:t xml:space="preserve">. </w:t>
      </w:r>
    </w:p>
    <w:p w14:paraId="5CF5D73F" w14:textId="11DE20EB" w:rsidR="006118AC" w:rsidRDefault="006868B8" w:rsidP="00C00563">
      <w:pPr>
        <w:rPr>
          <w:color w:val="222222"/>
          <w:shd w:val="clear" w:color="auto" w:fill="FFFFFF"/>
        </w:rPr>
      </w:pPr>
      <w:proofErr w:type="spellStart"/>
      <w:r w:rsidRPr="006868B8">
        <w:rPr>
          <w:color w:val="222222"/>
          <w:shd w:val="clear" w:color="auto" w:fill="FFFFFF"/>
        </w:rPr>
        <w:t>Barja</w:t>
      </w:r>
      <w:proofErr w:type="spellEnd"/>
      <w:r w:rsidRPr="006868B8">
        <w:rPr>
          <w:color w:val="222222"/>
          <w:shd w:val="clear" w:color="auto" w:fill="FFFFFF"/>
        </w:rPr>
        <w:t>, G. (2004). Free radicals and aging. </w:t>
      </w:r>
      <w:r w:rsidRPr="006868B8">
        <w:rPr>
          <w:i/>
          <w:iCs/>
          <w:color w:val="222222"/>
          <w:shd w:val="clear" w:color="auto" w:fill="FFFFFF"/>
        </w:rPr>
        <w:t>Trends in Neurosciences</w:t>
      </w:r>
      <w:r w:rsidRPr="006868B8">
        <w:rPr>
          <w:color w:val="222222"/>
          <w:shd w:val="clear" w:color="auto" w:fill="FFFFFF"/>
        </w:rPr>
        <w:t>, </w:t>
      </w:r>
      <w:r w:rsidRPr="006868B8">
        <w:rPr>
          <w:i/>
          <w:iCs/>
          <w:color w:val="222222"/>
          <w:shd w:val="clear" w:color="auto" w:fill="FFFFFF"/>
        </w:rPr>
        <w:t>27</w:t>
      </w:r>
      <w:r w:rsidRPr="006868B8">
        <w:rPr>
          <w:color w:val="222222"/>
          <w:shd w:val="clear" w:color="auto" w:fill="FFFFFF"/>
        </w:rPr>
        <w:t>(10), 595-600.</w:t>
      </w:r>
    </w:p>
    <w:p w14:paraId="11A19291" w14:textId="01DECDA6" w:rsidR="00DC17C8" w:rsidRPr="00DC17C8" w:rsidRDefault="00DC17C8" w:rsidP="00DC17C8">
      <w:pPr>
        <w:ind w:left="720" w:hanging="720"/>
        <w:rPr>
          <w:color w:val="000000" w:themeColor="text1"/>
        </w:rPr>
      </w:pPr>
      <w:r w:rsidRPr="00DC17C8">
        <w:rPr>
          <w:color w:val="000000" w:themeColor="text1"/>
          <w:shd w:val="clear" w:color="auto" w:fill="FFFFFF"/>
        </w:rPr>
        <w:t>Barnes, H. E. (1921). Historical origin of the prison system in America. </w:t>
      </w:r>
      <w:r w:rsidRPr="00DC17C8">
        <w:rPr>
          <w:i/>
          <w:iCs/>
          <w:color w:val="000000" w:themeColor="text1"/>
          <w:shd w:val="clear" w:color="auto" w:fill="FFFFFF"/>
        </w:rPr>
        <w:t>Journal of the American Institute of Criminal Law &amp; Criminology</w:t>
      </w:r>
      <w:r w:rsidRPr="00DC17C8">
        <w:rPr>
          <w:color w:val="000000" w:themeColor="text1"/>
          <w:shd w:val="clear" w:color="auto" w:fill="FFFFFF"/>
        </w:rPr>
        <w:t>, </w:t>
      </w:r>
      <w:r w:rsidRPr="00DC17C8">
        <w:rPr>
          <w:i/>
          <w:iCs/>
          <w:color w:val="000000" w:themeColor="text1"/>
          <w:shd w:val="clear" w:color="auto" w:fill="FFFFFF"/>
        </w:rPr>
        <w:t>12</w:t>
      </w:r>
      <w:r w:rsidRPr="00DC17C8">
        <w:rPr>
          <w:color w:val="000000" w:themeColor="text1"/>
          <w:shd w:val="clear" w:color="auto" w:fill="FFFFFF"/>
        </w:rPr>
        <w:t>, 35-60.</w:t>
      </w:r>
    </w:p>
    <w:p w14:paraId="35A93646" w14:textId="6FC3CF81" w:rsidR="00AD0D2E" w:rsidRDefault="006118AC" w:rsidP="00C00563">
      <w:pPr>
        <w:rPr>
          <w:color w:val="222222"/>
          <w:shd w:val="clear" w:color="auto" w:fill="FFFFFF"/>
        </w:rPr>
      </w:pPr>
      <w:r w:rsidRPr="00D63EA4">
        <w:rPr>
          <w:color w:val="222222"/>
          <w:shd w:val="clear" w:color="auto" w:fill="FFFFFF"/>
        </w:rPr>
        <w:t xml:space="preserve">Binswanger, I. A., Krueger, P. M., &amp; Steiner, J. F. (2009). Prevalence of chronic medical </w:t>
      </w:r>
      <w:r>
        <w:rPr>
          <w:color w:val="222222"/>
          <w:shd w:val="clear" w:color="auto" w:fill="FFFFFF"/>
        </w:rPr>
        <w:tab/>
      </w:r>
      <w:r w:rsidRPr="00D63EA4">
        <w:rPr>
          <w:color w:val="222222"/>
          <w:shd w:val="clear" w:color="auto" w:fill="FFFFFF"/>
        </w:rPr>
        <w:t xml:space="preserve">conditions among jail and prison inmates in the USA compared with the general </w:t>
      </w:r>
      <w:r>
        <w:rPr>
          <w:color w:val="222222"/>
          <w:shd w:val="clear" w:color="auto" w:fill="FFFFFF"/>
        </w:rPr>
        <w:tab/>
      </w:r>
      <w:r w:rsidRPr="00D63EA4">
        <w:rPr>
          <w:color w:val="222222"/>
          <w:shd w:val="clear" w:color="auto" w:fill="FFFFFF"/>
        </w:rPr>
        <w:t>population. </w:t>
      </w:r>
      <w:r w:rsidRPr="00D63EA4">
        <w:rPr>
          <w:i/>
          <w:iCs/>
          <w:color w:val="222222"/>
          <w:shd w:val="clear" w:color="auto" w:fill="FFFFFF"/>
        </w:rPr>
        <w:t>Journal of Epidemiology &amp; Community Health</w:t>
      </w:r>
      <w:r w:rsidRPr="00D63EA4">
        <w:rPr>
          <w:color w:val="222222"/>
          <w:shd w:val="clear" w:color="auto" w:fill="FFFFFF"/>
        </w:rPr>
        <w:t>, </w:t>
      </w:r>
      <w:r w:rsidRPr="00D63EA4">
        <w:rPr>
          <w:i/>
          <w:iCs/>
          <w:color w:val="222222"/>
          <w:shd w:val="clear" w:color="auto" w:fill="FFFFFF"/>
        </w:rPr>
        <w:t>63</w:t>
      </w:r>
      <w:r w:rsidRPr="00D63EA4">
        <w:rPr>
          <w:color w:val="222222"/>
          <w:shd w:val="clear" w:color="auto" w:fill="FFFFFF"/>
        </w:rPr>
        <w:t>(11), 912-919.</w:t>
      </w:r>
    </w:p>
    <w:p w14:paraId="45FC8691" w14:textId="05F47572" w:rsidR="00DD02CB" w:rsidRDefault="00DD02CB" w:rsidP="00C00563">
      <w:pPr>
        <w:rPr>
          <w:color w:val="000000" w:themeColor="text1"/>
          <w:shd w:val="clear" w:color="auto" w:fill="FFFFFF"/>
        </w:rPr>
      </w:pPr>
      <w:r w:rsidRPr="00DD02CB">
        <w:rPr>
          <w:color w:val="000000" w:themeColor="text1"/>
          <w:shd w:val="clear" w:color="auto" w:fill="FFFFFF"/>
        </w:rPr>
        <w:t xml:space="preserve">Bradshaw, E. A. (2018). Tombstone towns and toxic prisons: Prison ecology and the necessity of </w:t>
      </w:r>
      <w:r w:rsidRPr="00DD02CB">
        <w:rPr>
          <w:color w:val="000000" w:themeColor="text1"/>
          <w:shd w:val="clear" w:color="auto" w:fill="FFFFFF"/>
        </w:rPr>
        <w:tab/>
        <w:t>an anti-prison environmental movement. </w:t>
      </w:r>
      <w:r w:rsidRPr="00DD02CB">
        <w:rPr>
          <w:i/>
          <w:iCs/>
          <w:color w:val="000000" w:themeColor="text1"/>
          <w:shd w:val="clear" w:color="auto" w:fill="FFFFFF"/>
        </w:rPr>
        <w:t>Critical Criminology</w:t>
      </w:r>
      <w:r w:rsidRPr="00DD02CB">
        <w:rPr>
          <w:color w:val="000000" w:themeColor="text1"/>
          <w:shd w:val="clear" w:color="auto" w:fill="FFFFFF"/>
        </w:rPr>
        <w:t>, </w:t>
      </w:r>
      <w:r w:rsidRPr="00DD02CB">
        <w:rPr>
          <w:i/>
          <w:iCs/>
          <w:color w:val="000000" w:themeColor="text1"/>
          <w:shd w:val="clear" w:color="auto" w:fill="FFFFFF"/>
        </w:rPr>
        <w:t>26</w:t>
      </w:r>
      <w:r w:rsidRPr="00DD02CB">
        <w:rPr>
          <w:color w:val="000000" w:themeColor="text1"/>
          <w:shd w:val="clear" w:color="auto" w:fill="FFFFFF"/>
        </w:rPr>
        <w:t>, 407-422.</w:t>
      </w:r>
    </w:p>
    <w:p w14:paraId="0E4A3A88" w14:textId="6D158E55" w:rsidR="002E4C86" w:rsidRPr="002E4C86" w:rsidRDefault="002E4C86" w:rsidP="002E4C86">
      <w:pPr>
        <w:ind w:left="720" w:hanging="720"/>
      </w:pPr>
      <w:proofErr w:type="spellStart"/>
      <w:r>
        <w:t>Brisman</w:t>
      </w:r>
      <w:proofErr w:type="spellEnd"/>
      <w:r>
        <w:t xml:space="preserve">, A. (2008). Fair fare: food as contested terrain in U.S. prisons and jails. Georgetown Journal on Poverty Law &amp; Policy, 15(1), 49-94. </w:t>
      </w:r>
    </w:p>
    <w:p w14:paraId="41BC6F2C" w14:textId="5D08C56E" w:rsidR="00AD0D2E" w:rsidRPr="00AD0D2E" w:rsidRDefault="00AD0D2E" w:rsidP="00C00563">
      <w:r w:rsidRPr="00E32306">
        <w:rPr>
          <w:color w:val="222222"/>
          <w:shd w:val="clear" w:color="auto" w:fill="FFFFFF"/>
        </w:rPr>
        <w:t xml:space="preserve">Butler, T., </w:t>
      </w:r>
      <w:proofErr w:type="spellStart"/>
      <w:r w:rsidRPr="00E32306">
        <w:rPr>
          <w:color w:val="222222"/>
          <w:shd w:val="clear" w:color="auto" w:fill="FFFFFF"/>
        </w:rPr>
        <w:t>Kariminia</w:t>
      </w:r>
      <w:proofErr w:type="spellEnd"/>
      <w:r w:rsidRPr="00E32306">
        <w:rPr>
          <w:color w:val="222222"/>
          <w:shd w:val="clear" w:color="auto" w:fill="FFFFFF"/>
        </w:rPr>
        <w:t xml:space="preserve">, A., Levy, M., &amp; Murphy, M. (2004). The self‐reported health status of </w:t>
      </w:r>
      <w:r>
        <w:rPr>
          <w:color w:val="222222"/>
          <w:shd w:val="clear" w:color="auto" w:fill="FFFFFF"/>
        </w:rPr>
        <w:tab/>
      </w:r>
      <w:r w:rsidRPr="00E32306">
        <w:rPr>
          <w:color w:val="222222"/>
          <w:shd w:val="clear" w:color="auto" w:fill="FFFFFF"/>
        </w:rPr>
        <w:t>prisoners in New South Wales. </w:t>
      </w:r>
      <w:r w:rsidRPr="00E32306">
        <w:rPr>
          <w:i/>
          <w:iCs/>
          <w:color w:val="222222"/>
          <w:shd w:val="clear" w:color="auto" w:fill="FFFFFF"/>
        </w:rPr>
        <w:t xml:space="preserve">Australian and New Zealand </w:t>
      </w:r>
      <w:r>
        <w:rPr>
          <w:i/>
          <w:iCs/>
          <w:color w:val="222222"/>
          <w:shd w:val="clear" w:color="auto" w:fill="FFFFFF"/>
        </w:rPr>
        <w:t>J</w:t>
      </w:r>
      <w:r w:rsidRPr="00E32306">
        <w:rPr>
          <w:i/>
          <w:iCs/>
          <w:color w:val="222222"/>
          <w:shd w:val="clear" w:color="auto" w:fill="FFFFFF"/>
        </w:rPr>
        <w:t xml:space="preserve">ournal of </w:t>
      </w:r>
      <w:r>
        <w:rPr>
          <w:i/>
          <w:iCs/>
          <w:color w:val="222222"/>
          <w:shd w:val="clear" w:color="auto" w:fill="FFFFFF"/>
        </w:rPr>
        <w:t>P</w:t>
      </w:r>
      <w:r w:rsidRPr="00E32306">
        <w:rPr>
          <w:i/>
          <w:iCs/>
          <w:color w:val="222222"/>
          <w:shd w:val="clear" w:color="auto" w:fill="FFFFFF"/>
        </w:rPr>
        <w:t xml:space="preserve">ublic </w:t>
      </w:r>
      <w:r>
        <w:rPr>
          <w:i/>
          <w:iCs/>
          <w:color w:val="222222"/>
          <w:shd w:val="clear" w:color="auto" w:fill="FFFFFF"/>
        </w:rPr>
        <w:tab/>
        <w:t>H</w:t>
      </w:r>
      <w:r w:rsidRPr="00E32306">
        <w:rPr>
          <w:i/>
          <w:iCs/>
          <w:color w:val="222222"/>
          <w:shd w:val="clear" w:color="auto" w:fill="FFFFFF"/>
        </w:rPr>
        <w:t>ealth</w:t>
      </w:r>
      <w:r w:rsidRPr="00E32306">
        <w:rPr>
          <w:color w:val="222222"/>
          <w:shd w:val="clear" w:color="auto" w:fill="FFFFFF"/>
        </w:rPr>
        <w:t>, </w:t>
      </w:r>
      <w:r w:rsidRPr="00E32306">
        <w:rPr>
          <w:i/>
          <w:iCs/>
          <w:color w:val="222222"/>
          <w:shd w:val="clear" w:color="auto" w:fill="FFFFFF"/>
        </w:rPr>
        <w:t>28</w:t>
      </w:r>
      <w:r w:rsidRPr="00E32306">
        <w:rPr>
          <w:color w:val="222222"/>
          <w:shd w:val="clear" w:color="auto" w:fill="FFFFFF"/>
        </w:rPr>
        <w:t>(4), 344-350.</w:t>
      </w:r>
    </w:p>
    <w:p w14:paraId="4DD58D5B" w14:textId="7EBAC830" w:rsidR="008E4639" w:rsidRDefault="00603F50" w:rsidP="00C00563">
      <w:pPr>
        <w:ind w:left="567" w:hanging="567"/>
      </w:pPr>
      <w:r w:rsidRPr="00603F50">
        <w:t xml:space="preserve">Carson, A. E., &amp; Sabol, W. J. (2016, May). </w:t>
      </w:r>
      <w:r w:rsidRPr="00603F50">
        <w:rPr>
          <w:i/>
          <w:iCs/>
        </w:rPr>
        <w:t>Aging of the State Prison Population, 1993–2013</w:t>
      </w:r>
      <w:r w:rsidRPr="00603F50">
        <w:t xml:space="preserve">. Bureau of Justice Statistics. Retrieved April 25, 2022, from https://bjs.ojp.gov/content/pub/pdf/aspp9313.pdf </w:t>
      </w:r>
    </w:p>
    <w:p w14:paraId="1DBC7444" w14:textId="0B4C90B0" w:rsidR="00427B5A" w:rsidRPr="00603F50" w:rsidRDefault="00427B5A" w:rsidP="00427B5A">
      <w:pPr>
        <w:pStyle w:val="NormalWeb"/>
        <w:spacing w:before="0" w:beforeAutospacing="0" w:after="0" w:afterAutospacing="0"/>
        <w:ind w:left="562" w:hanging="562"/>
      </w:pPr>
      <w:r>
        <w:t xml:space="preserve">Clark, C. (2022, July 21). </w:t>
      </w:r>
      <w:r>
        <w:rPr>
          <w:i/>
          <w:iCs/>
        </w:rPr>
        <w:t>Extreme heat at Texas prisons an 'ongoing but preventable disaster,' report says</w:t>
      </w:r>
      <w:r>
        <w:t xml:space="preserve">. Texas A&amp;M Today. Retrieved March 6, 2023, from https://today.tamu.edu/2022/07/21/extreme-heat-at-texas-prisons-an-ongoing-but-preventable-disaster-report-says/ </w:t>
      </w:r>
    </w:p>
    <w:p w14:paraId="08F7816F" w14:textId="395FCCCE" w:rsidR="003F52E9" w:rsidRDefault="00354B45" w:rsidP="00C00563">
      <w:pPr>
        <w:rPr>
          <w:color w:val="222222"/>
          <w:shd w:val="clear" w:color="auto" w:fill="FFFFFF"/>
        </w:rPr>
      </w:pPr>
      <w:r w:rsidRPr="007C1005">
        <w:rPr>
          <w:color w:val="222222"/>
          <w:shd w:val="clear" w:color="auto" w:fill="FFFFFF"/>
        </w:rPr>
        <w:t xml:space="preserve">Colmer, J., Hardman, I., </w:t>
      </w:r>
      <w:proofErr w:type="spellStart"/>
      <w:r w:rsidRPr="007C1005">
        <w:rPr>
          <w:color w:val="222222"/>
          <w:shd w:val="clear" w:color="auto" w:fill="FFFFFF"/>
        </w:rPr>
        <w:t>Shimshack</w:t>
      </w:r>
      <w:proofErr w:type="spellEnd"/>
      <w:r w:rsidRPr="007C1005">
        <w:rPr>
          <w:color w:val="222222"/>
          <w:shd w:val="clear" w:color="auto" w:fill="FFFFFF"/>
        </w:rPr>
        <w:t xml:space="preserve">, J., &amp; </w:t>
      </w:r>
      <w:proofErr w:type="spellStart"/>
      <w:r w:rsidRPr="007C1005">
        <w:rPr>
          <w:color w:val="222222"/>
          <w:shd w:val="clear" w:color="auto" w:fill="FFFFFF"/>
        </w:rPr>
        <w:t>Voorheis</w:t>
      </w:r>
      <w:proofErr w:type="spellEnd"/>
      <w:r w:rsidRPr="007C1005">
        <w:rPr>
          <w:color w:val="222222"/>
          <w:shd w:val="clear" w:color="auto" w:fill="FFFFFF"/>
        </w:rPr>
        <w:t xml:space="preserve">, J. (2020). Disparities in PM2. 5 air pollution </w:t>
      </w:r>
      <w:r w:rsidRPr="007C1005">
        <w:rPr>
          <w:color w:val="222222"/>
          <w:shd w:val="clear" w:color="auto" w:fill="FFFFFF"/>
        </w:rPr>
        <w:tab/>
        <w:t>in the United States. </w:t>
      </w:r>
      <w:r w:rsidRPr="007C1005">
        <w:rPr>
          <w:i/>
          <w:iCs/>
          <w:color w:val="222222"/>
          <w:shd w:val="clear" w:color="auto" w:fill="FFFFFF"/>
        </w:rPr>
        <w:t>Science</w:t>
      </w:r>
      <w:r w:rsidRPr="007C1005">
        <w:rPr>
          <w:color w:val="222222"/>
          <w:shd w:val="clear" w:color="auto" w:fill="FFFFFF"/>
        </w:rPr>
        <w:t>, </w:t>
      </w:r>
      <w:r w:rsidRPr="007C1005">
        <w:rPr>
          <w:i/>
          <w:iCs/>
          <w:color w:val="222222"/>
          <w:shd w:val="clear" w:color="auto" w:fill="FFFFFF"/>
        </w:rPr>
        <w:t>369</w:t>
      </w:r>
      <w:r w:rsidRPr="007C1005">
        <w:rPr>
          <w:color w:val="222222"/>
          <w:shd w:val="clear" w:color="auto" w:fill="FFFFFF"/>
        </w:rPr>
        <w:t>(6503), 575-578.</w:t>
      </w:r>
    </w:p>
    <w:p w14:paraId="2B40C158" w14:textId="704FC549" w:rsidR="002126ED" w:rsidRPr="002126ED" w:rsidRDefault="002126ED" w:rsidP="002126ED">
      <w:pPr>
        <w:pStyle w:val="NormalWeb"/>
        <w:spacing w:before="0" w:beforeAutospacing="0" w:after="0" w:afterAutospacing="0"/>
        <w:ind w:left="562" w:hanging="562"/>
      </w:pPr>
      <w:r>
        <w:rPr>
          <w:i/>
          <w:iCs/>
        </w:rPr>
        <w:t>COVID-19 Frequently Asked Questions</w:t>
      </w:r>
      <w:r>
        <w:t xml:space="preserve">. Texas Department of Criminal Justice. (n.d.). Retrieved November 4, 2022, from https://www.tdcj.texas.gov/covid-19/faq.html </w:t>
      </w:r>
    </w:p>
    <w:p w14:paraId="64EEB2D0" w14:textId="0D552A55" w:rsidR="00A144A8" w:rsidRDefault="003F52E9" w:rsidP="00C00563">
      <w:r w:rsidRPr="007C1005">
        <w:t>Dannenberg</w:t>
      </w:r>
      <w:r>
        <w:t>,</w:t>
      </w:r>
      <w:r w:rsidRPr="007C1005">
        <w:t xml:space="preserve"> J</w:t>
      </w:r>
      <w:r>
        <w:t>.</w:t>
      </w:r>
      <w:r w:rsidRPr="007C1005">
        <w:t xml:space="preserve"> (2007)</w:t>
      </w:r>
      <w:r>
        <w:t>.</w:t>
      </w:r>
      <w:r w:rsidRPr="007C1005">
        <w:t xml:space="preserve"> Prison drinking water and wastewater pollution threaten environmental </w:t>
      </w:r>
      <w:r w:rsidRPr="007C1005">
        <w:tab/>
        <w:t xml:space="preserve">safety nationwide. </w:t>
      </w:r>
      <w:r w:rsidRPr="00D248A9">
        <w:rPr>
          <w:i/>
          <w:iCs/>
        </w:rPr>
        <w:t>Prison Legal News 18</w:t>
      </w:r>
      <w:r>
        <w:t>,</w:t>
      </w:r>
      <w:r w:rsidRPr="007C1005">
        <w:t>1–8</w:t>
      </w:r>
      <w:r>
        <w:t>.</w:t>
      </w:r>
    </w:p>
    <w:p w14:paraId="1745ACAA" w14:textId="74B60025" w:rsidR="00C93584" w:rsidRDefault="00C93584" w:rsidP="00C93584">
      <w:pPr>
        <w:pStyle w:val="NormalWeb"/>
        <w:spacing w:before="0" w:beforeAutospacing="0" w:after="0" w:afterAutospacing="0"/>
        <w:ind w:left="562" w:hanging="562"/>
      </w:pPr>
      <w:r>
        <w:t xml:space="preserve">Davis, R. J. (2022, July 28). </w:t>
      </w:r>
      <w:r>
        <w:rPr>
          <w:i/>
          <w:iCs/>
        </w:rPr>
        <w:t>3 reasons us coal power is disappearing – and a Supreme Court ruling won't save it</w:t>
      </w:r>
      <w:r>
        <w:t xml:space="preserve">. The Conversation. Retrieved March 9, 2023, from https://theconversation.com/3-reasons-us-coal-power-is-disappearing-and-a-supreme-court-ruling-wont-save-it-187254#:~:text=US%20electric%20power%20generation%20sources,over%20the%20past%2015%20years. </w:t>
      </w:r>
    </w:p>
    <w:p w14:paraId="7B839B08" w14:textId="1BB6E09D" w:rsidR="00C93584" w:rsidRPr="00C93584" w:rsidRDefault="00C93584" w:rsidP="00C93584">
      <w:pPr>
        <w:ind w:left="720" w:hanging="720"/>
      </w:pPr>
      <w:r w:rsidRPr="00C93584">
        <w:rPr>
          <w:color w:val="222222"/>
          <w:shd w:val="clear" w:color="auto" w:fill="FFFFFF"/>
        </w:rPr>
        <w:t xml:space="preserve">Di, Q., </w:t>
      </w:r>
      <w:proofErr w:type="spellStart"/>
      <w:r w:rsidRPr="00C93584">
        <w:rPr>
          <w:color w:val="222222"/>
          <w:shd w:val="clear" w:color="auto" w:fill="FFFFFF"/>
        </w:rPr>
        <w:t>Kloog</w:t>
      </w:r>
      <w:proofErr w:type="spellEnd"/>
      <w:r w:rsidRPr="00C93584">
        <w:rPr>
          <w:color w:val="222222"/>
          <w:shd w:val="clear" w:color="auto" w:fill="FFFFFF"/>
        </w:rPr>
        <w:t xml:space="preserve">, I., </w:t>
      </w:r>
      <w:proofErr w:type="spellStart"/>
      <w:r w:rsidRPr="00C93584">
        <w:rPr>
          <w:color w:val="222222"/>
          <w:shd w:val="clear" w:color="auto" w:fill="FFFFFF"/>
        </w:rPr>
        <w:t>Koutrakis</w:t>
      </w:r>
      <w:proofErr w:type="spellEnd"/>
      <w:r w:rsidRPr="00C93584">
        <w:rPr>
          <w:color w:val="222222"/>
          <w:shd w:val="clear" w:color="auto" w:fill="FFFFFF"/>
        </w:rPr>
        <w:t xml:space="preserve">, P., </w:t>
      </w:r>
      <w:proofErr w:type="spellStart"/>
      <w:r w:rsidRPr="00C93584">
        <w:rPr>
          <w:color w:val="222222"/>
          <w:shd w:val="clear" w:color="auto" w:fill="FFFFFF"/>
        </w:rPr>
        <w:t>Lyapustin</w:t>
      </w:r>
      <w:proofErr w:type="spellEnd"/>
      <w:r w:rsidRPr="00C93584">
        <w:rPr>
          <w:color w:val="222222"/>
          <w:shd w:val="clear" w:color="auto" w:fill="FFFFFF"/>
        </w:rPr>
        <w:t>, A., Wang, Y., &amp; Schwartz, J. (2016). Assessing PM2. 5 exposures with high spatiotemporal resolution across the continental United States. </w:t>
      </w:r>
      <w:r w:rsidRPr="00C93584">
        <w:rPr>
          <w:i/>
          <w:iCs/>
          <w:color w:val="222222"/>
          <w:shd w:val="clear" w:color="auto" w:fill="FFFFFF"/>
        </w:rPr>
        <w:t>Environmental Science &amp; Technology</w:t>
      </w:r>
      <w:r w:rsidRPr="00C93584">
        <w:rPr>
          <w:color w:val="222222"/>
          <w:shd w:val="clear" w:color="auto" w:fill="FFFFFF"/>
        </w:rPr>
        <w:t>, </w:t>
      </w:r>
      <w:r w:rsidRPr="00C93584">
        <w:rPr>
          <w:i/>
          <w:iCs/>
          <w:color w:val="222222"/>
          <w:shd w:val="clear" w:color="auto" w:fill="FFFFFF"/>
        </w:rPr>
        <w:t>50</w:t>
      </w:r>
      <w:r w:rsidRPr="00C93584">
        <w:rPr>
          <w:color w:val="222222"/>
          <w:shd w:val="clear" w:color="auto" w:fill="FFFFFF"/>
        </w:rPr>
        <w:t>(9), 4712-4721.</w:t>
      </w:r>
    </w:p>
    <w:p w14:paraId="04D74567" w14:textId="029CEE29" w:rsidR="0018242A" w:rsidRDefault="0018242A" w:rsidP="00BA525D">
      <w:pPr>
        <w:rPr>
          <w:color w:val="222222"/>
          <w:shd w:val="clear" w:color="auto" w:fill="FFFFFF"/>
        </w:rPr>
      </w:pPr>
      <w:r w:rsidRPr="0018242A">
        <w:rPr>
          <w:color w:val="222222"/>
          <w:shd w:val="clear" w:color="auto" w:fill="FFFFFF"/>
        </w:rPr>
        <w:lastRenderedPageBreak/>
        <w:t xml:space="preserve">Eason, J. (2010). Mapping prison proliferation: Region, rurality, </w:t>
      </w:r>
      <w:proofErr w:type="gramStart"/>
      <w:r w:rsidRPr="0018242A">
        <w:rPr>
          <w:color w:val="222222"/>
          <w:shd w:val="clear" w:color="auto" w:fill="FFFFFF"/>
        </w:rPr>
        <w:t>race</w:t>
      </w:r>
      <w:proofErr w:type="gramEnd"/>
      <w:r w:rsidRPr="0018242A">
        <w:rPr>
          <w:color w:val="222222"/>
          <w:shd w:val="clear" w:color="auto" w:fill="FFFFFF"/>
        </w:rPr>
        <w:t xml:space="preserve"> and disadvantage in prison </w:t>
      </w:r>
      <w:r>
        <w:rPr>
          <w:color w:val="222222"/>
          <w:shd w:val="clear" w:color="auto" w:fill="FFFFFF"/>
        </w:rPr>
        <w:tab/>
      </w:r>
      <w:r w:rsidRPr="0018242A">
        <w:rPr>
          <w:color w:val="222222"/>
          <w:shd w:val="clear" w:color="auto" w:fill="FFFFFF"/>
        </w:rPr>
        <w:t>placement. </w:t>
      </w:r>
      <w:r w:rsidRPr="0018242A">
        <w:rPr>
          <w:i/>
          <w:iCs/>
          <w:color w:val="222222"/>
          <w:shd w:val="clear" w:color="auto" w:fill="FFFFFF"/>
        </w:rPr>
        <w:t>Social Science Research</w:t>
      </w:r>
      <w:r w:rsidRPr="0018242A">
        <w:rPr>
          <w:color w:val="222222"/>
          <w:shd w:val="clear" w:color="auto" w:fill="FFFFFF"/>
        </w:rPr>
        <w:t>, </w:t>
      </w:r>
      <w:r w:rsidRPr="0018242A">
        <w:rPr>
          <w:i/>
          <w:iCs/>
          <w:color w:val="222222"/>
          <w:shd w:val="clear" w:color="auto" w:fill="FFFFFF"/>
        </w:rPr>
        <w:t>39</w:t>
      </w:r>
      <w:r w:rsidRPr="0018242A">
        <w:rPr>
          <w:color w:val="222222"/>
          <w:shd w:val="clear" w:color="auto" w:fill="FFFFFF"/>
        </w:rPr>
        <w:t>(6), 1015-1028.</w:t>
      </w:r>
    </w:p>
    <w:p w14:paraId="059B059A" w14:textId="72FB844E" w:rsidR="006E0F24" w:rsidRPr="006E0F24" w:rsidRDefault="006E0F24" w:rsidP="006E0F24">
      <w:pPr>
        <w:rPr>
          <w:color w:val="000000" w:themeColor="text1"/>
        </w:rPr>
      </w:pPr>
      <w:r w:rsidRPr="006E0F24">
        <w:rPr>
          <w:color w:val="000000" w:themeColor="text1"/>
          <w:shd w:val="clear" w:color="auto" w:fill="FFFFFF"/>
        </w:rPr>
        <w:t xml:space="preserve">Fang, X., Zou, B., Liu, X., Sternberg, T., &amp; </w:t>
      </w:r>
      <w:proofErr w:type="spellStart"/>
      <w:r w:rsidRPr="006E0F24">
        <w:rPr>
          <w:color w:val="000000" w:themeColor="text1"/>
          <w:shd w:val="clear" w:color="auto" w:fill="FFFFFF"/>
        </w:rPr>
        <w:t>Zhai</w:t>
      </w:r>
      <w:proofErr w:type="spellEnd"/>
      <w:r w:rsidRPr="006E0F24">
        <w:rPr>
          <w:color w:val="000000" w:themeColor="text1"/>
          <w:shd w:val="clear" w:color="auto" w:fill="FFFFFF"/>
        </w:rPr>
        <w:t xml:space="preserve">, L. (2016). Satellite-based ground PM2.5 </w:t>
      </w:r>
      <w:r>
        <w:rPr>
          <w:color w:val="000000" w:themeColor="text1"/>
          <w:shd w:val="clear" w:color="auto" w:fill="FFFFFF"/>
        </w:rPr>
        <w:tab/>
      </w:r>
      <w:r w:rsidRPr="006E0F24">
        <w:rPr>
          <w:color w:val="000000" w:themeColor="text1"/>
          <w:shd w:val="clear" w:color="auto" w:fill="FFFFFF"/>
        </w:rPr>
        <w:t>estimation using timely structure adaptive modeling. </w:t>
      </w:r>
      <w:r w:rsidRPr="006E0F24">
        <w:rPr>
          <w:i/>
          <w:iCs/>
          <w:color w:val="000000" w:themeColor="text1"/>
          <w:shd w:val="clear" w:color="auto" w:fill="FFFFFF"/>
        </w:rPr>
        <w:t xml:space="preserve">Remote Sensing of </w:t>
      </w:r>
      <w:r>
        <w:rPr>
          <w:i/>
          <w:iCs/>
          <w:color w:val="000000" w:themeColor="text1"/>
          <w:shd w:val="clear" w:color="auto" w:fill="FFFFFF"/>
        </w:rPr>
        <w:tab/>
      </w:r>
      <w:r w:rsidRPr="006E0F24">
        <w:rPr>
          <w:i/>
          <w:iCs/>
          <w:color w:val="000000" w:themeColor="text1"/>
          <w:shd w:val="clear" w:color="auto" w:fill="FFFFFF"/>
        </w:rPr>
        <w:t>Environment</w:t>
      </w:r>
      <w:r w:rsidRPr="006E0F24">
        <w:rPr>
          <w:color w:val="000000" w:themeColor="text1"/>
          <w:shd w:val="clear" w:color="auto" w:fill="FFFFFF"/>
        </w:rPr>
        <w:t>, </w:t>
      </w:r>
      <w:r w:rsidRPr="006E0F24">
        <w:rPr>
          <w:i/>
          <w:iCs/>
          <w:color w:val="000000" w:themeColor="text1"/>
          <w:shd w:val="clear" w:color="auto" w:fill="FFFFFF"/>
        </w:rPr>
        <w:t>186</w:t>
      </w:r>
      <w:r w:rsidRPr="006E0F24">
        <w:rPr>
          <w:color w:val="000000" w:themeColor="text1"/>
          <w:shd w:val="clear" w:color="auto" w:fill="FFFFFF"/>
        </w:rPr>
        <w:t>, 152-163.</w:t>
      </w:r>
    </w:p>
    <w:p w14:paraId="302CCB64" w14:textId="4EC9F22D" w:rsidR="004260F8" w:rsidRDefault="00A144A8" w:rsidP="00C00563">
      <w:pPr>
        <w:rPr>
          <w:color w:val="222222"/>
          <w:shd w:val="clear" w:color="auto" w:fill="FFFFFF"/>
        </w:rPr>
      </w:pPr>
      <w:proofErr w:type="spellStart"/>
      <w:r w:rsidRPr="005151BA">
        <w:rPr>
          <w:color w:val="222222"/>
          <w:shd w:val="clear" w:color="auto" w:fill="FFFFFF"/>
        </w:rPr>
        <w:t>Fann</w:t>
      </w:r>
      <w:proofErr w:type="spellEnd"/>
      <w:r w:rsidRPr="005151BA">
        <w:rPr>
          <w:color w:val="222222"/>
          <w:shd w:val="clear" w:color="auto" w:fill="FFFFFF"/>
        </w:rPr>
        <w:t xml:space="preserve">, N., Coffman, E., </w:t>
      </w:r>
      <w:proofErr w:type="spellStart"/>
      <w:r w:rsidRPr="005151BA">
        <w:rPr>
          <w:color w:val="222222"/>
          <w:shd w:val="clear" w:color="auto" w:fill="FFFFFF"/>
        </w:rPr>
        <w:t>Timin</w:t>
      </w:r>
      <w:proofErr w:type="spellEnd"/>
      <w:r w:rsidRPr="005151BA">
        <w:rPr>
          <w:color w:val="222222"/>
          <w:shd w:val="clear" w:color="auto" w:fill="FFFFFF"/>
        </w:rPr>
        <w:t xml:space="preserve">, B., &amp; Kelly, J. T. (2018). The estimated change in the level and </w:t>
      </w:r>
      <w:r>
        <w:rPr>
          <w:color w:val="222222"/>
          <w:shd w:val="clear" w:color="auto" w:fill="FFFFFF"/>
        </w:rPr>
        <w:tab/>
      </w:r>
      <w:r w:rsidRPr="005151BA">
        <w:rPr>
          <w:color w:val="222222"/>
          <w:shd w:val="clear" w:color="auto" w:fill="FFFFFF"/>
        </w:rPr>
        <w:t>distribution of PM2. 5-attributable health impacts in the United States: 2005–</w:t>
      </w:r>
      <w:r w:rsidRPr="00D85789">
        <w:rPr>
          <w:color w:val="222222"/>
          <w:shd w:val="clear" w:color="auto" w:fill="FFFFFF"/>
        </w:rPr>
        <w:tab/>
        <w:t>2014. </w:t>
      </w:r>
      <w:r w:rsidRPr="00D85789">
        <w:rPr>
          <w:i/>
          <w:iCs/>
          <w:color w:val="222222"/>
          <w:shd w:val="clear" w:color="auto" w:fill="FFFFFF"/>
        </w:rPr>
        <w:t xml:space="preserve">Environmental </w:t>
      </w:r>
      <w:r w:rsidR="004260F8">
        <w:rPr>
          <w:i/>
          <w:iCs/>
          <w:color w:val="222222"/>
          <w:shd w:val="clear" w:color="auto" w:fill="FFFFFF"/>
        </w:rPr>
        <w:t>R</w:t>
      </w:r>
      <w:r w:rsidRPr="00D85789">
        <w:rPr>
          <w:i/>
          <w:iCs/>
          <w:color w:val="222222"/>
          <w:shd w:val="clear" w:color="auto" w:fill="FFFFFF"/>
        </w:rPr>
        <w:t>esearch</w:t>
      </w:r>
      <w:r w:rsidRPr="00D85789">
        <w:rPr>
          <w:color w:val="222222"/>
          <w:shd w:val="clear" w:color="auto" w:fill="FFFFFF"/>
        </w:rPr>
        <w:t>, </w:t>
      </w:r>
      <w:r w:rsidRPr="00D85789">
        <w:rPr>
          <w:i/>
          <w:iCs/>
          <w:color w:val="222222"/>
          <w:shd w:val="clear" w:color="auto" w:fill="FFFFFF"/>
        </w:rPr>
        <w:t>167</w:t>
      </w:r>
      <w:r w:rsidRPr="00D85789">
        <w:rPr>
          <w:color w:val="222222"/>
          <w:shd w:val="clear" w:color="auto" w:fill="FFFFFF"/>
        </w:rPr>
        <w:t>, 506-514.</w:t>
      </w:r>
    </w:p>
    <w:p w14:paraId="4B2D0ED7" w14:textId="344ED18E" w:rsidR="00511116" w:rsidRDefault="004260F8" w:rsidP="00C00563">
      <w:pPr>
        <w:rPr>
          <w:color w:val="222222"/>
          <w:shd w:val="clear" w:color="auto" w:fill="FFFFFF"/>
        </w:rPr>
      </w:pPr>
      <w:r w:rsidRPr="00E32306">
        <w:rPr>
          <w:color w:val="222222"/>
          <w:shd w:val="clear" w:color="auto" w:fill="FFFFFF"/>
        </w:rPr>
        <w:t>Fazel, S., &amp; Baillargeon, J. (2011). The health of prisoners. </w:t>
      </w:r>
      <w:r w:rsidRPr="00E32306">
        <w:rPr>
          <w:i/>
          <w:iCs/>
          <w:color w:val="222222"/>
          <w:shd w:val="clear" w:color="auto" w:fill="FFFFFF"/>
        </w:rPr>
        <w:t>The Lancet</w:t>
      </w:r>
      <w:r w:rsidRPr="00E32306">
        <w:rPr>
          <w:color w:val="222222"/>
          <w:shd w:val="clear" w:color="auto" w:fill="FFFFFF"/>
        </w:rPr>
        <w:t>, </w:t>
      </w:r>
      <w:r w:rsidRPr="00E32306">
        <w:rPr>
          <w:i/>
          <w:iCs/>
          <w:color w:val="222222"/>
          <w:shd w:val="clear" w:color="auto" w:fill="FFFFFF"/>
        </w:rPr>
        <w:t>377</w:t>
      </w:r>
      <w:r w:rsidRPr="00E32306">
        <w:rPr>
          <w:color w:val="222222"/>
          <w:shd w:val="clear" w:color="auto" w:fill="FFFFFF"/>
        </w:rPr>
        <w:t>(9769), 956-965.</w:t>
      </w:r>
    </w:p>
    <w:p w14:paraId="2CBF90DB" w14:textId="77251494" w:rsidR="004B2BE9" w:rsidRDefault="00511116" w:rsidP="00C00563">
      <w:pPr>
        <w:rPr>
          <w:color w:val="222222"/>
          <w:shd w:val="clear" w:color="auto" w:fill="FFFFFF"/>
        </w:rPr>
      </w:pPr>
      <w:r w:rsidRPr="00E32306">
        <w:rPr>
          <w:color w:val="222222"/>
          <w:shd w:val="clear" w:color="auto" w:fill="FFFFFF"/>
        </w:rPr>
        <w:t xml:space="preserve">Fazel, S., Hope, T., O'Donnell, I., Piper, M., &amp; Jacoby, R. (2001). Health of elderly male </w:t>
      </w:r>
      <w:r>
        <w:rPr>
          <w:color w:val="222222"/>
          <w:shd w:val="clear" w:color="auto" w:fill="FFFFFF"/>
        </w:rPr>
        <w:tab/>
      </w:r>
      <w:r w:rsidRPr="00E32306">
        <w:rPr>
          <w:color w:val="222222"/>
          <w:shd w:val="clear" w:color="auto" w:fill="FFFFFF"/>
        </w:rPr>
        <w:t>prisoners: worse than the general population, worse than younger prisoners. </w:t>
      </w:r>
      <w:r w:rsidRPr="00E32306">
        <w:rPr>
          <w:i/>
          <w:iCs/>
          <w:color w:val="222222"/>
          <w:shd w:val="clear" w:color="auto" w:fill="FFFFFF"/>
        </w:rPr>
        <w:t xml:space="preserve">Age and </w:t>
      </w:r>
      <w:r>
        <w:rPr>
          <w:i/>
          <w:iCs/>
          <w:color w:val="222222"/>
          <w:shd w:val="clear" w:color="auto" w:fill="FFFFFF"/>
        </w:rPr>
        <w:tab/>
        <w:t>A</w:t>
      </w:r>
      <w:r w:rsidRPr="00E32306">
        <w:rPr>
          <w:i/>
          <w:iCs/>
          <w:color w:val="222222"/>
          <w:shd w:val="clear" w:color="auto" w:fill="FFFFFF"/>
        </w:rPr>
        <w:t>geing</w:t>
      </w:r>
      <w:r w:rsidRPr="00E32306">
        <w:rPr>
          <w:color w:val="222222"/>
          <w:shd w:val="clear" w:color="auto" w:fill="FFFFFF"/>
        </w:rPr>
        <w:t>, </w:t>
      </w:r>
      <w:r w:rsidRPr="00E32306">
        <w:rPr>
          <w:i/>
          <w:iCs/>
          <w:color w:val="222222"/>
          <w:shd w:val="clear" w:color="auto" w:fill="FFFFFF"/>
        </w:rPr>
        <w:t>30</w:t>
      </w:r>
      <w:r w:rsidRPr="00E32306">
        <w:rPr>
          <w:color w:val="222222"/>
          <w:shd w:val="clear" w:color="auto" w:fill="FFFFFF"/>
        </w:rPr>
        <w:t>(5), 403-407.</w:t>
      </w:r>
    </w:p>
    <w:p w14:paraId="649374F7" w14:textId="178A37F3" w:rsidR="00850C52" w:rsidRPr="00850C52" w:rsidRDefault="00850C52" w:rsidP="00850C52">
      <w:pPr>
        <w:pStyle w:val="NormalWeb"/>
        <w:spacing w:before="0" w:beforeAutospacing="0" w:after="0" w:afterAutospacing="0"/>
        <w:ind w:left="562" w:hanging="562"/>
      </w:pPr>
      <w:r>
        <w:t xml:space="preserve">Funk, C., Tyson, A., Kennedy, B., &amp; Johnson, C. (2020, September 29). </w:t>
      </w:r>
      <w:r>
        <w:rPr>
          <w:i/>
          <w:iCs/>
        </w:rPr>
        <w:t>Concern over climate and the environment predominates among these publics</w:t>
      </w:r>
      <w:r>
        <w:t xml:space="preserve">. Pew Research Center. Retrieved March 9, 2023, from https://www.pewresearch.org/science/2020/09/29/concern-over-climate-and-the-environment-predominates-among-these-publics/ </w:t>
      </w:r>
    </w:p>
    <w:p w14:paraId="58A50FE0" w14:textId="7C4D8C56" w:rsidR="00F265C9" w:rsidRPr="00F265C9" w:rsidRDefault="00F265C9" w:rsidP="00053EB0">
      <w:pPr>
        <w:ind w:left="720" w:hanging="720"/>
        <w:rPr>
          <w:color w:val="222222"/>
          <w:shd w:val="clear" w:color="auto" w:fill="FFFFFF"/>
        </w:rPr>
      </w:pPr>
      <w:r>
        <w:rPr>
          <w:color w:val="222222"/>
          <w:shd w:val="clear" w:color="auto" w:fill="FFFFFF"/>
        </w:rPr>
        <w:t xml:space="preserve">Graves, P. I (2019, August). </w:t>
      </w:r>
      <w:r>
        <w:rPr>
          <w:i/>
          <w:iCs/>
          <w:color w:val="222222"/>
          <w:shd w:val="clear" w:color="auto" w:fill="FFFFFF"/>
        </w:rPr>
        <w:t xml:space="preserve">Texas State Jails. </w:t>
      </w:r>
      <w:r>
        <w:rPr>
          <w:color w:val="222222"/>
          <w:shd w:val="clear" w:color="auto" w:fill="FFFFFF"/>
        </w:rPr>
        <w:t xml:space="preserve">Texas Comptroller of Public Accounts. </w:t>
      </w:r>
      <w:r w:rsidR="00053EB0">
        <w:rPr>
          <w:color w:val="222222"/>
          <w:shd w:val="clear" w:color="auto" w:fill="FFFFFF"/>
        </w:rPr>
        <w:t xml:space="preserve">Retrieved November 4, </w:t>
      </w:r>
      <w:proofErr w:type="gramStart"/>
      <w:r w:rsidR="00053EB0">
        <w:rPr>
          <w:color w:val="222222"/>
          <w:shd w:val="clear" w:color="auto" w:fill="FFFFFF"/>
        </w:rPr>
        <w:t>2022</w:t>
      </w:r>
      <w:proofErr w:type="gramEnd"/>
      <w:r w:rsidR="00053EB0">
        <w:rPr>
          <w:color w:val="222222"/>
          <w:shd w:val="clear" w:color="auto" w:fill="FFFFFF"/>
        </w:rPr>
        <w:t xml:space="preserve"> from </w:t>
      </w:r>
      <w:hyperlink r:id="rId9" w:history="1">
        <w:r w:rsidR="00053EB0" w:rsidRPr="007E67B3">
          <w:rPr>
            <w:rStyle w:val="Hyperlink"/>
            <w:shd w:val="clear" w:color="auto" w:fill="FFFFFF"/>
          </w:rPr>
          <w:t>https://comptroller.texas.gov/economy/fiscal-notes/2019/aug/jails.php</w:t>
        </w:r>
      </w:hyperlink>
      <w:r w:rsidR="00053EB0">
        <w:rPr>
          <w:color w:val="222222"/>
          <w:shd w:val="clear" w:color="auto" w:fill="FFFFFF"/>
        </w:rPr>
        <w:t xml:space="preserve"> </w:t>
      </w:r>
    </w:p>
    <w:p w14:paraId="6FFA7B21" w14:textId="4E6E61A5" w:rsidR="003A4256" w:rsidRPr="003A4256" w:rsidRDefault="003A4256" w:rsidP="003A4256">
      <w:pPr>
        <w:ind w:left="720" w:hanging="720"/>
      </w:pPr>
      <w:r w:rsidRPr="003A4256">
        <w:rPr>
          <w:color w:val="222222"/>
          <w:shd w:val="clear" w:color="auto" w:fill="FFFFFF"/>
        </w:rPr>
        <w:t>Hashmi, A. H., Bennett, A. M., Tajuddin, N. N., Hester, R. J., &amp; Glenn, J. E. (2021). Qualitative exploration of the medical learner’s journey into correctional health care at an academic medical center and its implications for medical education. </w:t>
      </w:r>
      <w:r w:rsidRPr="003A4256">
        <w:rPr>
          <w:i/>
          <w:iCs/>
          <w:color w:val="222222"/>
          <w:shd w:val="clear" w:color="auto" w:fill="FFFFFF"/>
        </w:rPr>
        <w:t>Advances in Health Sciences Education</w:t>
      </w:r>
      <w:r w:rsidRPr="003A4256">
        <w:rPr>
          <w:color w:val="222222"/>
          <w:shd w:val="clear" w:color="auto" w:fill="FFFFFF"/>
        </w:rPr>
        <w:t>, </w:t>
      </w:r>
      <w:r w:rsidRPr="003A4256">
        <w:rPr>
          <w:i/>
          <w:iCs/>
          <w:color w:val="222222"/>
          <w:shd w:val="clear" w:color="auto" w:fill="FFFFFF"/>
        </w:rPr>
        <w:t>26</w:t>
      </w:r>
      <w:r w:rsidRPr="003A4256">
        <w:rPr>
          <w:color w:val="222222"/>
          <w:shd w:val="clear" w:color="auto" w:fill="FFFFFF"/>
        </w:rPr>
        <w:t>(2), 489-511.</w:t>
      </w:r>
    </w:p>
    <w:p w14:paraId="3B26689B" w14:textId="6881EA0C" w:rsidR="00AD0D2E" w:rsidRDefault="004B2BE9" w:rsidP="00C00563">
      <w:pPr>
        <w:rPr>
          <w:color w:val="222222"/>
          <w:shd w:val="clear" w:color="auto" w:fill="FFFFFF"/>
        </w:rPr>
      </w:pPr>
      <w:r w:rsidRPr="0077540B">
        <w:rPr>
          <w:color w:val="222222"/>
          <w:shd w:val="clear" w:color="auto" w:fill="FFFFFF"/>
        </w:rPr>
        <w:t xml:space="preserve">Holliday, M. K., &amp; Richardson, K. M. (2021). Nutrition in </w:t>
      </w:r>
      <w:r>
        <w:rPr>
          <w:color w:val="222222"/>
          <w:shd w:val="clear" w:color="auto" w:fill="FFFFFF"/>
        </w:rPr>
        <w:t>m</w:t>
      </w:r>
      <w:r w:rsidRPr="0077540B">
        <w:rPr>
          <w:color w:val="222222"/>
          <w:shd w:val="clear" w:color="auto" w:fill="FFFFFF"/>
        </w:rPr>
        <w:t xml:space="preserve">idwestern </w:t>
      </w:r>
      <w:r>
        <w:rPr>
          <w:color w:val="222222"/>
          <w:shd w:val="clear" w:color="auto" w:fill="FFFFFF"/>
        </w:rPr>
        <w:t>s</w:t>
      </w:r>
      <w:r w:rsidRPr="0077540B">
        <w:rPr>
          <w:color w:val="222222"/>
          <w:shd w:val="clear" w:color="auto" w:fill="FFFFFF"/>
        </w:rPr>
        <w:t xml:space="preserve">tate </w:t>
      </w:r>
      <w:r>
        <w:rPr>
          <w:color w:val="222222"/>
          <w:shd w:val="clear" w:color="auto" w:fill="FFFFFF"/>
        </w:rPr>
        <w:t>d</w:t>
      </w:r>
      <w:r w:rsidRPr="0077540B">
        <w:rPr>
          <w:color w:val="222222"/>
          <w:shd w:val="clear" w:color="auto" w:fill="FFFFFF"/>
        </w:rPr>
        <w:t xml:space="preserve">epartment of </w:t>
      </w:r>
      <w:r>
        <w:rPr>
          <w:color w:val="222222"/>
          <w:shd w:val="clear" w:color="auto" w:fill="FFFFFF"/>
        </w:rPr>
        <w:tab/>
        <w:t>c</w:t>
      </w:r>
      <w:r w:rsidRPr="0077540B">
        <w:rPr>
          <w:color w:val="222222"/>
          <w:shd w:val="clear" w:color="auto" w:fill="FFFFFF"/>
        </w:rPr>
        <w:t xml:space="preserve">orrections </w:t>
      </w:r>
      <w:r>
        <w:rPr>
          <w:color w:val="222222"/>
          <w:shd w:val="clear" w:color="auto" w:fill="FFFFFF"/>
        </w:rPr>
        <w:t>p</w:t>
      </w:r>
      <w:r w:rsidRPr="0077540B">
        <w:rPr>
          <w:color w:val="222222"/>
          <w:shd w:val="clear" w:color="auto" w:fill="FFFFFF"/>
        </w:rPr>
        <w:t xml:space="preserve">risons: A </w:t>
      </w:r>
      <w:r>
        <w:rPr>
          <w:color w:val="222222"/>
          <w:shd w:val="clear" w:color="auto" w:fill="FFFFFF"/>
        </w:rPr>
        <w:t>c</w:t>
      </w:r>
      <w:r w:rsidRPr="0077540B">
        <w:rPr>
          <w:color w:val="222222"/>
          <w:shd w:val="clear" w:color="auto" w:fill="FFFFFF"/>
        </w:rPr>
        <w:t xml:space="preserve">omparison of </w:t>
      </w:r>
      <w:r>
        <w:rPr>
          <w:color w:val="222222"/>
          <w:shd w:val="clear" w:color="auto" w:fill="FFFFFF"/>
        </w:rPr>
        <w:t>n</w:t>
      </w:r>
      <w:r w:rsidRPr="0077540B">
        <w:rPr>
          <w:color w:val="222222"/>
          <w:shd w:val="clear" w:color="auto" w:fill="FFFFFF"/>
        </w:rPr>
        <w:t xml:space="preserve">utritional </w:t>
      </w:r>
      <w:r>
        <w:rPr>
          <w:color w:val="222222"/>
          <w:shd w:val="clear" w:color="auto" w:fill="FFFFFF"/>
        </w:rPr>
        <w:t>o</w:t>
      </w:r>
      <w:r w:rsidRPr="0077540B">
        <w:rPr>
          <w:color w:val="222222"/>
          <w:shd w:val="clear" w:color="auto" w:fill="FFFFFF"/>
        </w:rPr>
        <w:t xml:space="preserve">fferings </w:t>
      </w:r>
      <w:r>
        <w:rPr>
          <w:color w:val="222222"/>
          <w:shd w:val="clear" w:color="auto" w:fill="FFFFFF"/>
        </w:rPr>
        <w:t>w</w:t>
      </w:r>
      <w:r w:rsidRPr="0077540B">
        <w:rPr>
          <w:color w:val="222222"/>
          <w:shd w:val="clear" w:color="auto" w:fill="FFFFFF"/>
        </w:rPr>
        <w:t xml:space="preserve">ith </w:t>
      </w:r>
      <w:r>
        <w:rPr>
          <w:color w:val="222222"/>
          <w:shd w:val="clear" w:color="auto" w:fill="FFFFFF"/>
        </w:rPr>
        <w:t>c</w:t>
      </w:r>
      <w:r w:rsidRPr="0077540B">
        <w:rPr>
          <w:color w:val="222222"/>
          <w:shd w:val="clear" w:color="auto" w:fill="FFFFFF"/>
        </w:rPr>
        <w:t xml:space="preserve">ommonly </w:t>
      </w:r>
      <w:r>
        <w:rPr>
          <w:color w:val="222222"/>
          <w:shd w:val="clear" w:color="auto" w:fill="FFFFFF"/>
        </w:rPr>
        <w:t>u</w:t>
      </w:r>
      <w:r w:rsidRPr="0077540B">
        <w:rPr>
          <w:color w:val="222222"/>
          <w:shd w:val="clear" w:color="auto" w:fill="FFFFFF"/>
        </w:rPr>
        <w:t xml:space="preserve">tilized </w:t>
      </w:r>
      <w:r>
        <w:rPr>
          <w:color w:val="222222"/>
          <w:shd w:val="clear" w:color="auto" w:fill="FFFFFF"/>
        </w:rPr>
        <w:tab/>
        <w:t>n</w:t>
      </w:r>
      <w:r w:rsidRPr="0077540B">
        <w:rPr>
          <w:color w:val="222222"/>
          <w:shd w:val="clear" w:color="auto" w:fill="FFFFFF"/>
        </w:rPr>
        <w:t xml:space="preserve">utritional </w:t>
      </w:r>
      <w:r>
        <w:rPr>
          <w:color w:val="222222"/>
          <w:shd w:val="clear" w:color="auto" w:fill="FFFFFF"/>
        </w:rPr>
        <w:t>s</w:t>
      </w:r>
      <w:r w:rsidRPr="0077540B">
        <w:rPr>
          <w:color w:val="222222"/>
          <w:shd w:val="clear" w:color="auto" w:fill="FFFFFF"/>
        </w:rPr>
        <w:t>tandards. </w:t>
      </w:r>
      <w:r w:rsidRPr="0077540B">
        <w:rPr>
          <w:i/>
          <w:iCs/>
          <w:color w:val="222222"/>
          <w:shd w:val="clear" w:color="auto" w:fill="FFFFFF"/>
        </w:rPr>
        <w:t>Journal of Correctional Health Care</w:t>
      </w:r>
      <w:r w:rsidRPr="0077540B">
        <w:rPr>
          <w:color w:val="222222"/>
          <w:shd w:val="clear" w:color="auto" w:fill="FFFFFF"/>
        </w:rPr>
        <w:t>, </w:t>
      </w:r>
      <w:r w:rsidRPr="0077540B">
        <w:rPr>
          <w:i/>
          <w:iCs/>
          <w:color w:val="222222"/>
          <w:shd w:val="clear" w:color="auto" w:fill="FFFFFF"/>
        </w:rPr>
        <w:t>27</w:t>
      </w:r>
      <w:r w:rsidRPr="0077540B">
        <w:rPr>
          <w:color w:val="222222"/>
          <w:shd w:val="clear" w:color="auto" w:fill="FFFFFF"/>
        </w:rPr>
        <w:t>(3), 154-160.</w:t>
      </w:r>
    </w:p>
    <w:p w14:paraId="5AFCB95B" w14:textId="5EF4D8C5" w:rsidR="003365A0" w:rsidRDefault="003365A0" w:rsidP="00C00563">
      <w:pPr>
        <w:rPr>
          <w:color w:val="222222"/>
          <w:shd w:val="clear" w:color="auto" w:fill="FFFFFF"/>
        </w:rPr>
      </w:pPr>
      <w:r w:rsidRPr="00E62319">
        <w:rPr>
          <w:color w:val="222222"/>
          <w:shd w:val="clear" w:color="auto" w:fill="FFFFFF"/>
        </w:rPr>
        <w:t xml:space="preserve">Leon-Corwin, M., McElroy, J. R., Estes, M. L., Lewis, J., &amp; Long, M. A. (2020). Polluting our </w:t>
      </w:r>
      <w:r w:rsidRPr="00C170A7">
        <w:rPr>
          <w:color w:val="222222"/>
          <w:shd w:val="clear" w:color="auto" w:fill="FFFFFF"/>
        </w:rPr>
        <w:tab/>
      </w:r>
      <w:r w:rsidRPr="00E62319">
        <w:rPr>
          <w:color w:val="222222"/>
          <w:shd w:val="clear" w:color="auto" w:fill="FFFFFF"/>
        </w:rPr>
        <w:t>prisons? An examination of Oklahoma prison locations and toxic releases, 2011–</w:t>
      </w:r>
      <w:r w:rsidRPr="00C170A7">
        <w:rPr>
          <w:color w:val="222222"/>
          <w:shd w:val="clear" w:color="auto" w:fill="FFFFFF"/>
        </w:rPr>
        <w:tab/>
      </w:r>
      <w:r w:rsidRPr="00E62319">
        <w:rPr>
          <w:color w:val="222222"/>
          <w:shd w:val="clear" w:color="auto" w:fill="FFFFFF"/>
        </w:rPr>
        <w:t>2017. </w:t>
      </w:r>
      <w:r w:rsidRPr="00E62319">
        <w:rPr>
          <w:i/>
          <w:iCs/>
          <w:color w:val="222222"/>
          <w:shd w:val="clear" w:color="auto" w:fill="FFFFFF"/>
        </w:rPr>
        <w:t>Punishment &amp; Society</w:t>
      </w:r>
      <w:r w:rsidRPr="00E62319">
        <w:rPr>
          <w:color w:val="222222"/>
          <w:shd w:val="clear" w:color="auto" w:fill="FFFFFF"/>
        </w:rPr>
        <w:t>, </w:t>
      </w:r>
      <w:r w:rsidRPr="00E62319">
        <w:rPr>
          <w:i/>
          <w:iCs/>
          <w:color w:val="222222"/>
          <w:shd w:val="clear" w:color="auto" w:fill="FFFFFF"/>
        </w:rPr>
        <w:t>22</w:t>
      </w:r>
      <w:r w:rsidRPr="00E62319">
        <w:rPr>
          <w:color w:val="222222"/>
          <w:shd w:val="clear" w:color="auto" w:fill="FFFFFF"/>
        </w:rPr>
        <w:t>, 413-438.</w:t>
      </w:r>
    </w:p>
    <w:p w14:paraId="722CF6DF" w14:textId="72138812" w:rsidR="002126ED" w:rsidRPr="002126ED" w:rsidRDefault="002126ED" w:rsidP="002126ED">
      <w:pPr>
        <w:ind w:left="720" w:hanging="720"/>
      </w:pPr>
      <w:r w:rsidRPr="002126ED">
        <w:rPr>
          <w:color w:val="222222"/>
          <w:shd w:val="clear" w:color="auto" w:fill="FFFFFF"/>
        </w:rPr>
        <w:t xml:space="preserve">Li, X., &amp; Gong, Y. (2015). Design of polymeric nanofiber gauze mask to prevent inhaling PM2. 5 particles from haze pollution. </w:t>
      </w:r>
      <w:r w:rsidRPr="002126ED">
        <w:rPr>
          <w:i/>
          <w:iCs/>
          <w:color w:val="222222"/>
          <w:shd w:val="clear" w:color="auto" w:fill="FFFFFF"/>
        </w:rPr>
        <w:t>Journal of Chemistry</w:t>
      </w:r>
      <w:r w:rsidRPr="002126ED">
        <w:rPr>
          <w:color w:val="222222"/>
          <w:shd w:val="clear" w:color="auto" w:fill="FFFFFF"/>
        </w:rPr>
        <w:t xml:space="preserve">, </w:t>
      </w:r>
      <w:r w:rsidRPr="002126ED">
        <w:rPr>
          <w:i/>
          <w:iCs/>
          <w:color w:val="222222"/>
          <w:shd w:val="clear" w:color="auto" w:fill="FFFFFF"/>
        </w:rPr>
        <w:t>2015</w:t>
      </w:r>
      <w:r w:rsidRPr="002126ED">
        <w:rPr>
          <w:color w:val="222222"/>
          <w:shd w:val="clear" w:color="auto" w:fill="FFFFFF"/>
        </w:rPr>
        <w:t xml:space="preserve">. </w:t>
      </w:r>
      <w:hyperlink r:id="rId10" w:history="1">
        <w:r w:rsidRPr="002126ED">
          <w:rPr>
            <w:color w:val="74A73A"/>
            <w:u w:val="single"/>
            <w:shd w:val="clear" w:color="auto" w:fill="FFFFFF"/>
          </w:rPr>
          <w:t>https://doi.org/10.1155/2015/460392</w:t>
        </w:r>
      </w:hyperlink>
    </w:p>
    <w:p w14:paraId="5424A407" w14:textId="5983C1D5" w:rsidR="00502BC5" w:rsidRDefault="00502BC5" w:rsidP="00C00563">
      <w:pPr>
        <w:rPr>
          <w:color w:val="222222"/>
          <w:shd w:val="clear" w:color="auto" w:fill="FFFFFF"/>
        </w:rPr>
      </w:pPr>
      <w:r w:rsidRPr="001B6E40">
        <w:rPr>
          <w:color w:val="222222"/>
          <w:shd w:val="clear" w:color="auto" w:fill="FFFFFF"/>
        </w:rPr>
        <w:t xml:space="preserve">Link, N. W., Ward, J. T., &amp; Stansfield, R. (2019). Consequences of mental and physical health </w:t>
      </w:r>
      <w:r>
        <w:rPr>
          <w:color w:val="222222"/>
          <w:shd w:val="clear" w:color="auto" w:fill="FFFFFF"/>
        </w:rPr>
        <w:tab/>
      </w:r>
      <w:r w:rsidRPr="001B6E40">
        <w:rPr>
          <w:color w:val="222222"/>
          <w:shd w:val="clear" w:color="auto" w:fill="FFFFFF"/>
        </w:rPr>
        <w:t xml:space="preserve">for reentry and recidivism: Toward a health‐based model of </w:t>
      </w:r>
      <w:r>
        <w:rPr>
          <w:color w:val="222222"/>
          <w:shd w:val="clear" w:color="auto" w:fill="FFFFFF"/>
        </w:rPr>
        <w:tab/>
      </w:r>
      <w:r w:rsidRPr="001B6E40">
        <w:rPr>
          <w:color w:val="222222"/>
          <w:shd w:val="clear" w:color="auto" w:fill="FFFFFF"/>
        </w:rPr>
        <w:t>desistance. </w:t>
      </w:r>
      <w:r w:rsidRPr="001B6E40">
        <w:rPr>
          <w:i/>
          <w:iCs/>
          <w:color w:val="222222"/>
          <w:shd w:val="clear" w:color="auto" w:fill="FFFFFF"/>
        </w:rPr>
        <w:t>Criminology</w:t>
      </w:r>
      <w:r w:rsidRPr="001B6E40">
        <w:rPr>
          <w:color w:val="222222"/>
          <w:shd w:val="clear" w:color="auto" w:fill="FFFFFF"/>
        </w:rPr>
        <w:t>, </w:t>
      </w:r>
      <w:r w:rsidRPr="001B6E40">
        <w:rPr>
          <w:i/>
          <w:iCs/>
          <w:color w:val="222222"/>
          <w:shd w:val="clear" w:color="auto" w:fill="FFFFFF"/>
        </w:rPr>
        <w:t>57</w:t>
      </w:r>
      <w:r w:rsidRPr="001B6E40">
        <w:rPr>
          <w:color w:val="222222"/>
          <w:shd w:val="clear" w:color="auto" w:fill="FFFFFF"/>
        </w:rPr>
        <w:t>(3), 544-573.</w:t>
      </w:r>
    </w:p>
    <w:p w14:paraId="2EAFFB2C" w14:textId="1AA81B96" w:rsidR="00FC3105" w:rsidRPr="00DB0EEA" w:rsidRDefault="00FC3105" w:rsidP="00DB0EEA">
      <w:pPr>
        <w:ind w:left="720" w:hanging="720"/>
        <w:rPr>
          <w:color w:val="000000" w:themeColor="text1"/>
        </w:rPr>
      </w:pPr>
      <w:r w:rsidRPr="00DB0EEA">
        <w:rPr>
          <w:color w:val="000000" w:themeColor="text1"/>
          <w:shd w:val="clear" w:color="auto" w:fill="FFFFFF"/>
        </w:rPr>
        <w:t xml:space="preserve">Liu, C., Hsu, P. C., Lee, H. W., Ye, M., Zheng, G., Liu, N., ... &amp; Cui, Y. (2015). Transparent air filter for high-efficiency PM2. 5 </w:t>
      </w:r>
      <w:proofErr w:type="gramStart"/>
      <w:r w:rsidRPr="00DB0EEA">
        <w:rPr>
          <w:color w:val="000000" w:themeColor="text1"/>
          <w:shd w:val="clear" w:color="auto" w:fill="FFFFFF"/>
        </w:rPr>
        <w:t>capture</w:t>
      </w:r>
      <w:proofErr w:type="gramEnd"/>
      <w:r w:rsidRPr="00DB0EEA">
        <w:rPr>
          <w:color w:val="000000" w:themeColor="text1"/>
          <w:shd w:val="clear" w:color="auto" w:fill="FFFFFF"/>
        </w:rPr>
        <w:t xml:space="preserve">. </w:t>
      </w:r>
      <w:r w:rsidRPr="00DB0EEA">
        <w:rPr>
          <w:i/>
          <w:iCs/>
          <w:color w:val="000000" w:themeColor="text1"/>
          <w:shd w:val="clear" w:color="auto" w:fill="FFFFFF"/>
        </w:rPr>
        <w:t>Nature communications</w:t>
      </w:r>
      <w:r w:rsidRPr="00DB0EEA">
        <w:rPr>
          <w:color w:val="000000" w:themeColor="text1"/>
          <w:shd w:val="clear" w:color="auto" w:fill="FFFFFF"/>
        </w:rPr>
        <w:t xml:space="preserve">, </w:t>
      </w:r>
      <w:r w:rsidRPr="00DB0EEA">
        <w:rPr>
          <w:i/>
          <w:iCs/>
          <w:color w:val="000000" w:themeColor="text1"/>
          <w:shd w:val="clear" w:color="auto" w:fill="FFFFFF"/>
        </w:rPr>
        <w:t>6</w:t>
      </w:r>
      <w:r w:rsidRPr="00DB0EEA">
        <w:rPr>
          <w:color w:val="000000" w:themeColor="text1"/>
          <w:shd w:val="clear" w:color="auto" w:fill="FFFFFF"/>
        </w:rPr>
        <w:t>(1), 1-9.</w:t>
      </w:r>
    </w:p>
    <w:p w14:paraId="0D9FF548" w14:textId="318CBC52" w:rsidR="00D54968" w:rsidRDefault="00D54968" w:rsidP="00D54968">
      <w:pPr>
        <w:ind w:left="720" w:hanging="720"/>
        <w:rPr>
          <w:color w:val="000000" w:themeColor="text1"/>
          <w:shd w:val="clear" w:color="auto" w:fill="FFFFFF"/>
        </w:rPr>
      </w:pPr>
      <w:proofErr w:type="spellStart"/>
      <w:r w:rsidRPr="00D54968">
        <w:rPr>
          <w:color w:val="000000" w:themeColor="text1"/>
          <w:shd w:val="clear" w:color="auto" w:fill="FFFFFF"/>
        </w:rPr>
        <w:t>Lofaro</w:t>
      </w:r>
      <w:proofErr w:type="spellEnd"/>
      <w:r w:rsidRPr="00D54968">
        <w:rPr>
          <w:color w:val="000000" w:themeColor="text1"/>
          <w:shd w:val="clear" w:color="auto" w:fill="FFFFFF"/>
        </w:rPr>
        <w:t>, R. J., &amp; McCue, C. (2020). Salient target populations and the subcategorization of deviants in the release of inmates during the COVID-19 pandemic. </w:t>
      </w:r>
      <w:r w:rsidRPr="00D54968">
        <w:rPr>
          <w:i/>
          <w:iCs/>
          <w:color w:val="000000" w:themeColor="text1"/>
          <w:shd w:val="clear" w:color="auto" w:fill="FFFFFF"/>
        </w:rPr>
        <w:t>Administrative Theory &amp; Praxis</w:t>
      </w:r>
      <w:r w:rsidRPr="00D54968">
        <w:rPr>
          <w:color w:val="000000" w:themeColor="text1"/>
          <w:shd w:val="clear" w:color="auto" w:fill="FFFFFF"/>
        </w:rPr>
        <w:t>, </w:t>
      </w:r>
      <w:r w:rsidRPr="00D54968">
        <w:rPr>
          <w:i/>
          <w:iCs/>
          <w:color w:val="000000" w:themeColor="text1"/>
          <w:shd w:val="clear" w:color="auto" w:fill="FFFFFF"/>
        </w:rPr>
        <w:t>42</w:t>
      </w:r>
      <w:r w:rsidRPr="00D54968">
        <w:rPr>
          <w:color w:val="000000" w:themeColor="text1"/>
          <w:shd w:val="clear" w:color="auto" w:fill="FFFFFF"/>
        </w:rPr>
        <w:t>(3), 379-393.</w:t>
      </w:r>
    </w:p>
    <w:p w14:paraId="7F21698E" w14:textId="03046EB5" w:rsidR="00263698" w:rsidRPr="00263698" w:rsidRDefault="00263698" w:rsidP="00263698">
      <w:pPr>
        <w:ind w:left="720" w:hanging="720"/>
      </w:pPr>
      <w:proofErr w:type="spellStart"/>
      <w:r w:rsidRPr="00263698">
        <w:rPr>
          <w:color w:val="222222"/>
          <w:shd w:val="clear" w:color="auto" w:fill="FFFFFF"/>
        </w:rPr>
        <w:t>Mansournia</w:t>
      </w:r>
      <w:proofErr w:type="spellEnd"/>
      <w:r w:rsidRPr="00263698">
        <w:rPr>
          <w:color w:val="222222"/>
          <w:shd w:val="clear" w:color="auto" w:fill="FFFFFF"/>
        </w:rPr>
        <w:t xml:space="preserve">, M. A., </w:t>
      </w:r>
      <w:proofErr w:type="spellStart"/>
      <w:r w:rsidRPr="00263698">
        <w:rPr>
          <w:color w:val="222222"/>
          <w:shd w:val="clear" w:color="auto" w:fill="FFFFFF"/>
        </w:rPr>
        <w:t>Nazemipour</w:t>
      </w:r>
      <w:proofErr w:type="spellEnd"/>
      <w:r w:rsidRPr="00263698">
        <w:rPr>
          <w:color w:val="222222"/>
          <w:shd w:val="clear" w:color="auto" w:fill="FFFFFF"/>
        </w:rPr>
        <w:t xml:space="preserve">, M., </w:t>
      </w:r>
      <w:proofErr w:type="spellStart"/>
      <w:r w:rsidRPr="00263698">
        <w:rPr>
          <w:color w:val="222222"/>
          <w:shd w:val="clear" w:color="auto" w:fill="FFFFFF"/>
        </w:rPr>
        <w:t>Naimi</w:t>
      </w:r>
      <w:proofErr w:type="spellEnd"/>
      <w:r w:rsidRPr="00263698">
        <w:rPr>
          <w:color w:val="222222"/>
          <w:shd w:val="clear" w:color="auto" w:fill="FFFFFF"/>
        </w:rPr>
        <w:t>, A. I., Collins, G. S., &amp; Campbell, M. J. (2021). Reflection on modern methods: demystifying robust standard errors for epidemiologists. </w:t>
      </w:r>
      <w:r w:rsidRPr="00263698">
        <w:rPr>
          <w:i/>
          <w:iCs/>
          <w:color w:val="222222"/>
          <w:shd w:val="clear" w:color="auto" w:fill="FFFFFF"/>
        </w:rPr>
        <w:t>International Journal of Epidemiology</w:t>
      </w:r>
      <w:r w:rsidRPr="00263698">
        <w:rPr>
          <w:color w:val="222222"/>
          <w:shd w:val="clear" w:color="auto" w:fill="FFFFFF"/>
        </w:rPr>
        <w:t>, </w:t>
      </w:r>
      <w:r w:rsidRPr="00263698">
        <w:rPr>
          <w:i/>
          <w:iCs/>
          <w:color w:val="222222"/>
          <w:shd w:val="clear" w:color="auto" w:fill="FFFFFF"/>
        </w:rPr>
        <w:t>50</w:t>
      </w:r>
      <w:r w:rsidRPr="00263698">
        <w:rPr>
          <w:color w:val="222222"/>
          <w:shd w:val="clear" w:color="auto" w:fill="FFFFFF"/>
        </w:rPr>
        <w:t>(1), 346-351.</w:t>
      </w:r>
    </w:p>
    <w:p w14:paraId="3FD01D6B" w14:textId="11F33303" w:rsidR="000E7F6F" w:rsidRDefault="00AD0D2E" w:rsidP="00C00563">
      <w:pPr>
        <w:rPr>
          <w:rStyle w:val="Hyperlink"/>
        </w:rPr>
      </w:pPr>
      <w:proofErr w:type="spellStart"/>
      <w:r>
        <w:t>Maruschak</w:t>
      </w:r>
      <w:proofErr w:type="spellEnd"/>
      <w:r>
        <w:t xml:space="preserve">, L. M., </w:t>
      </w:r>
      <w:proofErr w:type="spellStart"/>
      <w:r>
        <w:t>Berzofsky</w:t>
      </w:r>
      <w:proofErr w:type="spellEnd"/>
      <w:r>
        <w:t xml:space="preserve">, M., &amp; </w:t>
      </w:r>
      <w:proofErr w:type="spellStart"/>
      <w:r>
        <w:t>Unangst</w:t>
      </w:r>
      <w:proofErr w:type="spellEnd"/>
      <w:r>
        <w:t xml:space="preserve">, J. (2015). Medical problems of state and federal </w:t>
      </w:r>
      <w:r>
        <w:tab/>
        <w:t xml:space="preserve">prisoners and jail inmates, 2011–2012 (NCJ 248491). </w:t>
      </w:r>
      <w:r w:rsidRPr="00B455B0">
        <w:rPr>
          <w:i/>
          <w:iCs/>
        </w:rPr>
        <w:t>Bureau of Justice Statistics.</w:t>
      </w:r>
      <w:r>
        <w:t xml:space="preserve"> </w:t>
      </w:r>
      <w:r>
        <w:tab/>
      </w:r>
      <w:hyperlink r:id="rId11" w:history="1">
        <w:r w:rsidR="000E7F6F" w:rsidRPr="0090033E">
          <w:rPr>
            <w:rStyle w:val="Hyperlink"/>
          </w:rPr>
          <w:t>www.bjs.gov/content/pub/pdf/mpsfpji1112.pdf</w:t>
        </w:r>
      </w:hyperlink>
    </w:p>
    <w:p w14:paraId="39F8A3E7" w14:textId="1CD512C2" w:rsidR="003335F1" w:rsidRDefault="003335F1" w:rsidP="003335F1">
      <w:pPr>
        <w:pStyle w:val="NormalWeb"/>
        <w:spacing w:before="0" w:beforeAutospacing="0" w:after="0" w:afterAutospacing="0"/>
        <w:ind w:left="562" w:hanging="562"/>
      </w:pPr>
      <w:r>
        <w:lastRenderedPageBreak/>
        <w:t xml:space="preserve">McCullough, J. (2020, February 7). </w:t>
      </w:r>
      <w:r>
        <w:rPr>
          <w:i/>
          <w:iCs/>
        </w:rPr>
        <w:t>Three Texas inmates have died at the hands of prison officers as use of force continues to rise</w:t>
      </w:r>
      <w:r>
        <w:t xml:space="preserve">. The Texas Tribune. Retrieved March 6, 2023, from https://www.texastribune.org/2020/02/07/texas-prison-deaths-come-staffers-use-force-against-inmates-increases/ </w:t>
      </w:r>
    </w:p>
    <w:p w14:paraId="3A904AAD" w14:textId="2973602E" w:rsidR="00FB3A5E" w:rsidRDefault="00FB3A5E" w:rsidP="00FB3A5E">
      <w:pPr>
        <w:ind w:left="562" w:hanging="562"/>
      </w:pPr>
      <w:r w:rsidRPr="00FB3A5E">
        <w:t xml:space="preserve">Morales, M. (2021, December 22). </w:t>
      </w:r>
      <w:r w:rsidRPr="00FB3A5E">
        <w:rPr>
          <w:i/>
          <w:iCs/>
        </w:rPr>
        <w:t xml:space="preserve">Inmates at NYC's Rikers Island Jail </w:t>
      </w:r>
      <w:proofErr w:type="gramStart"/>
      <w:r w:rsidRPr="00FB3A5E">
        <w:rPr>
          <w:i/>
          <w:iCs/>
        </w:rPr>
        <w:t>in the midst of</w:t>
      </w:r>
      <w:proofErr w:type="gramEnd"/>
      <w:r w:rsidRPr="00FB3A5E">
        <w:rPr>
          <w:i/>
          <w:iCs/>
        </w:rPr>
        <w:t xml:space="preserve"> 'emerging crisis' related to Omicron Surge</w:t>
      </w:r>
      <w:r w:rsidRPr="00FB3A5E">
        <w:t xml:space="preserve">. CNN. Retrieved April 29, 2022, from https://www.cnn.com/2021/12/22/us/omicron-surge-rikers-jail/index.html </w:t>
      </w:r>
    </w:p>
    <w:p w14:paraId="1C169678" w14:textId="1287C7B0" w:rsidR="00E21668" w:rsidRPr="00E21668" w:rsidRDefault="00E21668" w:rsidP="00E21668">
      <w:pPr>
        <w:ind w:left="562" w:hanging="562"/>
      </w:pPr>
      <w:r>
        <w:t>National Institute of Corrections</w:t>
      </w:r>
      <w:r w:rsidRPr="00E21668">
        <w:t xml:space="preserve">. (2021, August 18). </w:t>
      </w:r>
      <w:r w:rsidRPr="00E21668">
        <w:rPr>
          <w:i/>
          <w:iCs/>
        </w:rPr>
        <w:t>2019 national averages</w:t>
      </w:r>
      <w:r w:rsidRPr="00E21668">
        <w:t>. National Institute of Corrections</w:t>
      </w:r>
      <w:r>
        <w:t xml:space="preserve"> – United States Department of Justice</w:t>
      </w:r>
      <w:r w:rsidRPr="00E21668">
        <w:t xml:space="preserve">. Retrieved November 1, 2022, from </w:t>
      </w:r>
      <w:hyperlink r:id="rId12" w:history="1">
        <w:r w:rsidRPr="00E21668">
          <w:rPr>
            <w:rStyle w:val="Hyperlink"/>
          </w:rPr>
          <w:t>https://nicic.gov/state-statistics/2019</w:t>
        </w:r>
      </w:hyperlink>
      <w:r>
        <w:t xml:space="preserve">. </w:t>
      </w:r>
    </w:p>
    <w:p w14:paraId="6F70633D" w14:textId="0D80D431" w:rsidR="00EB7D8F" w:rsidRPr="006414C5" w:rsidRDefault="000E7F6F" w:rsidP="00C00563">
      <w:pPr>
        <w:rPr>
          <w:color w:val="000000" w:themeColor="text1"/>
          <w:shd w:val="clear" w:color="auto" w:fill="FFFFFF"/>
        </w:rPr>
      </w:pPr>
      <w:proofErr w:type="spellStart"/>
      <w:r w:rsidRPr="00AD1A36">
        <w:rPr>
          <w:color w:val="222222"/>
          <w:shd w:val="clear" w:color="auto" w:fill="FFFFFF"/>
        </w:rPr>
        <w:t>Opsal</w:t>
      </w:r>
      <w:proofErr w:type="spellEnd"/>
      <w:r w:rsidRPr="00AD1A36">
        <w:rPr>
          <w:color w:val="222222"/>
          <w:shd w:val="clear" w:color="auto" w:fill="FFFFFF"/>
        </w:rPr>
        <w:t xml:space="preserve">, T., &amp; </w:t>
      </w:r>
      <w:proofErr w:type="spellStart"/>
      <w:r w:rsidRPr="00AD1A36">
        <w:rPr>
          <w:color w:val="222222"/>
          <w:shd w:val="clear" w:color="auto" w:fill="FFFFFF"/>
        </w:rPr>
        <w:t>Malin</w:t>
      </w:r>
      <w:proofErr w:type="spellEnd"/>
      <w:r w:rsidRPr="00AD1A36">
        <w:rPr>
          <w:color w:val="222222"/>
          <w:shd w:val="clear" w:color="auto" w:fill="FFFFFF"/>
        </w:rPr>
        <w:t xml:space="preserve">, S. A. (2020). Prisons as LULUs: Understanding the parallels between prison </w:t>
      </w:r>
      <w:r>
        <w:rPr>
          <w:color w:val="222222"/>
          <w:shd w:val="clear" w:color="auto" w:fill="FFFFFF"/>
        </w:rPr>
        <w:tab/>
      </w:r>
      <w:r w:rsidRPr="006414C5">
        <w:rPr>
          <w:color w:val="000000" w:themeColor="text1"/>
          <w:shd w:val="clear" w:color="auto" w:fill="FFFFFF"/>
        </w:rPr>
        <w:tab/>
        <w:t>proliferation and environmental injustices. </w:t>
      </w:r>
      <w:r w:rsidRPr="006414C5">
        <w:rPr>
          <w:i/>
          <w:iCs/>
          <w:color w:val="000000" w:themeColor="text1"/>
          <w:shd w:val="clear" w:color="auto" w:fill="FFFFFF"/>
        </w:rPr>
        <w:t>Sociological Inquiry</w:t>
      </w:r>
      <w:r w:rsidRPr="006414C5">
        <w:rPr>
          <w:color w:val="000000" w:themeColor="text1"/>
          <w:shd w:val="clear" w:color="auto" w:fill="FFFFFF"/>
        </w:rPr>
        <w:t>, </w:t>
      </w:r>
      <w:r w:rsidRPr="006414C5">
        <w:rPr>
          <w:i/>
          <w:iCs/>
          <w:color w:val="000000" w:themeColor="text1"/>
          <w:shd w:val="clear" w:color="auto" w:fill="FFFFFF"/>
        </w:rPr>
        <w:t>90</w:t>
      </w:r>
      <w:r w:rsidRPr="006414C5">
        <w:rPr>
          <w:color w:val="000000" w:themeColor="text1"/>
          <w:shd w:val="clear" w:color="auto" w:fill="FFFFFF"/>
        </w:rPr>
        <w:t>(3), 579-602.</w:t>
      </w:r>
    </w:p>
    <w:p w14:paraId="67160671" w14:textId="621755A0" w:rsidR="001F1004" w:rsidRPr="001F1004" w:rsidRDefault="001F1004" w:rsidP="001F1004">
      <w:pPr>
        <w:ind w:left="720" w:hanging="720"/>
      </w:pPr>
      <w:r w:rsidRPr="001F1004">
        <w:rPr>
          <w:color w:val="222222"/>
          <w:shd w:val="clear" w:color="auto" w:fill="FFFFFF"/>
        </w:rPr>
        <w:t>Pellow, D. N. (2000). Environmental inequality formation: Toward a theory of environmental injustice. </w:t>
      </w:r>
      <w:r w:rsidRPr="001F1004">
        <w:rPr>
          <w:i/>
          <w:iCs/>
          <w:color w:val="222222"/>
          <w:shd w:val="clear" w:color="auto" w:fill="FFFFFF"/>
        </w:rPr>
        <w:t xml:space="preserve">American </w:t>
      </w:r>
      <w:r w:rsidRPr="001F1004">
        <w:rPr>
          <w:i/>
          <w:iCs/>
          <w:color w:val="222222"/>
          <w:shd w:val="clear" w:color="auto" w:fill="FFFFFF"/>
        </w:rPr>
        <w:t>B</w:t>
      </w:r>
      <w:r w:rsidRPr="001F1004">
        <w:rPr>
          <w:i/>
          <w:iCs/>
          <w:color w:val="222222"/>
          <w:shd w:val="clear" w:color="auto" w:fill="FFFFFF"/>
        </w:rPr>
        <w:t xml:space="preserve">ehavioral </w:t>
      </w:r>
      <w:r w:rsidRPr="001F1004">
        <w:rPr>
          <w:i/>
          <w:iCs/>
          <w:color w:val="222222"/>
          <w:shd w:val="clear" w:color="auto" w:fill="FFFFFF"/>
        </w:rPr>
        <w:t>S</w:t>
      </w:r>
      <w:r w:rsidRPr="001F1004">
        <w:rPr>
          <w:i/>
          <w:iCs/>
          <w:color w:val="222222"/>
          <w:shd w:val="clear" w:color="auto" w:fill="FFFFFF"/>
        </w:rPr>
        <w:t>cientist</w:t>
      </w:r>
      <w:r w:rsidRPr="001F1004">
        <w:rPr>
          <w:color w:val="222222"/>
          <w:shd w:val="clear" w:color="auto" w:fill="FFFFFF"/>
        </w:rPr>
        <w:t>, </w:t>
      </w:r>
      <w:r w:rsidRPr="001F1004">
        <w:rPr>
          <w:i/>
          <w:iCs/>
          <w:color w:val="222222"/>
          <w:shd w:val="clear" w:color="auto" w:fill="FFFFFF"/>
        </w:rPr>
        <w:t>43</w:t>
      </w:r>
      <w:r w:rsidRPr="001F1004">
        <w:rPr>
          <w:color w:val="222222"/>
          <w:shd w:val="clear" w:color="auto" w:fill="FFFFFF"/>
        </w:rPr>
        <w:t>(4), 581-601.</w:t>
      </w:r>
    </w:p>
    <w:p w14:paraId="645AC33D" w14:textId="1215BD90" w:rsidR="00223312" w:rsidRPr="00223312" w:rsidRDefault="00223312" w:rsidP="00C00563">
      <w:r w:rsidRPr="00912F70">
        <w:rPr>
          <w:color w:val="222222"/>
          <w:shd w:val="clear" w:color="auto" w:fill="FFFFFF"/>
        </w:rPr>
        <w:t xml:space="preserve">Pellow, D. N. (2017). Environmental inequalities and the US prison system: An urgent research </w:t>
      </w:r>
      <w:r>
        <w:rPr>
          <w:color w:val="222222"/>
          <w:shd w:val="clear" w:color="auto" w:fill="FFFFFF"/>
        </w:rPr>
        <w:tab/>
      </w:r>
      <w:r w:rsidRPr="00912F70">
        <w:rPr>
          <w:color w:val="222222"/>
          <w:shd w:val="clear" w:color="auto" w:fill="FFFFFF"/>
        </w:rPr>
        <w:t>agenda. </w:t>
      </w:r>
      <w:r w:rsidRPr="00912F70">
        <w:rPr>
          <w:i/>
          <w:iCs/>
          <w:color w:val="222222"/>
          <w:shd w:val="clear" w:color="auto" w:fill="FFFFFF"/>
        </w:rPr>
        <w:t>International Journal of Earth &amp; Environmental Sciences</w:t>
      </w:r>
      <w:r w:rsidRPr="00912F70">
        <w:rPr>
          <w:color w:val="222222"/>
          <w:shd w:val="clear" w:color="auto" w:fill="FFFFFF"/>
        </w:rPr>
        <w:t>, </w:t>
      </w:r>
      <w:r w:rsidRPr="00912F70">
        <w:rPr>
          <w:i/>
          <w:iCs/>
          <w:color w:val="222222"/>
          <w:shd w:val="clear" w:color="auto" w:fill="FFFFFF"/>
        </w:rPr>
        <w:t>2</w:t>
      </w:r>
      <w:r w:rsidRPr="00912F70">
        <w:rPr>
          <w:color w:val="222222"/>
          <w:shd w:val="clear" w:color="auto" w:fill="FFFFFF"/>
        </w:rPr>
        <w:t>, 140-41.</w:t>
      </w:r>
    </w:p>
    <w:p w14:paraId="584F4CBF" w14:textId="378E2CD5" w:rsidR="006414C5" w:rsidRPr="006414C5" w:rsidRDefault="006414C5" w:rsidP="00C00563">
      <w:pPr>
        <w:rPr>
          <w:color w:val="000000" w:themeColor="text1"/>
          <w:shd w:val="clear" w:color="auto" w:fill="FFFFFF"/>
        </w:rPr>
      </w:pPr>
      <w:r w:rsidRPr="006414C5">
        <w:rPr>
          <w:color w:val="000000" w:themeColor="text1"/>
          <w:shd w:val="clear" w:color="auto" w:fill="FFFFFF"/>
        </w:rPr>
        <w:t xml:space="preserve">Pellow, D. N. (2021). Struggles for environmental justice in US prisons and </w:t>
      </w:r>
      <w:r w:rsidRPr="006414C5">
        <w:rPr>
          <w:color w:val="000000" w:themeColor="text1"/>
          <w:shd w:val="clear" w:color="auto" w:fill="FFFFFF"/>
        </w:rPr>
        <w:tab/>
        <w:t>jails. </w:t>
      </w:r>
      <w:r w:rsidRPr="006414C5">
        <w:rPr>
          <w:i/>
          <w:iCs/>
          <w:color w:val="000000" w:themeColor="text1"/>
          <w:shd w:val="clear" w:color="auto" w:fill="FFFFFF"/>
        </w:rPr>
        <w:t>Antipode</w:t>
      </w:r>
      <w:r w:rsidRPr="006414C5">
        <w:rPr>
          <w:color w:val="000000" w:themeColor="text1"/>
          <w:shd w:val="clear" w:color="auto" w:fill="FFFFFF"/>
        </w:rPr>
        <w:t>, </w:t>
      </w:r>
      <w:r w:rsidRPr="006414C5">
        <w:rPr>
          <w:i/>
          <w:iCs/>
          <w:color w:val="000000" w:themeColor="text1"/>
          <w:shd w:val="clear" w:color="auto" w:fill="FFFFFF"/>
        </w:rPr>
        <w:t>53</w:t>
      </w:r>
      <w:r w:rsidRPr="006414C5">
        <w:rPr>
          <w:color w:val="000000" w:themeColor="text1"/>
          <w:shd w:val="clear" w:color="auto" w:fill="FFFFFF"/>
        </w:rPr>
        <w:t>(1), 56-73.</w:t>
      </w:r>
    </w:p>
    <w:p w14:paraId="4F41EE21" w14:textId="02CA47D1" w:rsidR="00D45527" w:rsidRDefault="00EB7D8F" w:rsidP="00C00563">
      <w:pPr>
        <w:rPr>
          <w:color w:val="222222"/>
          <w:shd w:val="clear" w:color="auto" w:fill="FFFFFF"/>
        </w:rPr>
      </w:pPr>
      <w:r w:rsidRPr="007C1005">
        <w:rPr>
          <w:color w:val="222222"/>
          <w:shd w:val="clear" w:color="auto" w:fill="FFFFFF"/>
        </w:rPr>
        <w:t xml:space="preserve">Pellow, D. N., Lake, F. R., Wilson, C.A., &amp; Baker, E. J. (2020). Environmental justice struggles </w:t>
      </w:r>
      <w:r w:rsidRPr="007C1005">
        <w:rPr>
          <w:color w:val="222222"/>
          <w:shd w:val="clear" w:color="auto" w:fill="FFFFFF"/>
        </w:rPr>
        <w:tab/>
        <w:t xml:space="preserve">in prisons and jails around the world: The 2020 annual report of the prison environmental </w:t>
      </w:r>
      <w:r w:rsidRPr="007C1005">
        <w:rPr>
          <w:color w:val="222222"/>
          <w:shd w:val="clear" w:color="auto" w:fill="FFFFFF"/>
        </w:rPr>
        <w:tab/>
        <w:t xml:space="preserve">justice project. </w:t>
      </w:r>
      <w:r w:rsidRPr="007C1005">
        <w:rPr>
          <w:i/>
          <w:iCs/>
          <w:color w:val="222222"/>
          <w:shd w:val="clear" w:color="auto" w:fill="FFFFFF"/>
        </w:rPr>
        <w:t xml:space="preserve">Global Environmental Justice Project UC Satna Barbara. </w:t>
      </w:r>
      <w:r w:rsidRPr="007C1005">
        <w:rPr>
          <w:color w:val="222222"/>
          <w:shd w:val="clear" w:color="auto" w:fill="FFFFFF"/>
        </w:rPr>
        <w:t xml:space="preserve">Retrieved from </w:t>
      </w:r>
      <w:r w:rsidRPr="007C1005">
        <w:rPr>
          <w:color w:val="222222"/>
          <w:shd w:val="clear" w:color="auto" w:fill="FFFFFF"/>
        </w:rPr>
        <w:tab/>
      </w:r>
      <w:hyperlink r:id="rId13" w:history="1">
        <w:r w:rsidRPr="007C1005">
          <w:rPr>
            <w:rStyle w:val="Hyperlink"/>
            <w:shd w:val="clear" w:color="auto" w:fill="FFFFFF"/>
          </w:rPr>
          <w:t>https://gejp.es.ucsb.edu/sites/default/files/sitefiles/publication/Prison%20EJ%20Project%</w:t>
        </w:r>
      </w:hyperlink>
      <w:r w:rsidRPr="007C1005">
        <w:rPr>
          <w:color w:val="222222"/>
          <w:shd w:val="clear" w:color="auto" w:fill="FFFFFF"/>
        </w:rPr>
        <w:tab/>
        <w:t>202020%20Report-compressed.pdf</w:t>
      </w:r>
    </w:p>
    <w:p w14:paraId="2531D7BF" w14:textId="3E2C0E3C" w:rsidR="0016156A" w:rsidRDefault="0016156A" w:rsidP="0016156A">
      <w:pPr>
        <w:ind w:left="562" w:hanging="562"/>
      </w:pPr>
      <w:r w:rsidRPr="004746F7">
        <w:t xml:space="preserve">Penn, J. (2020). </w:t>
      </w:r>
      <w:r w:rsidRPr="004746F7">
        <w:rPr>
          <w:i/>
          <w:iCs/>
        </w:rPr>
        <w:t xml:space="preserve">Overview of TDCJ mental health services - </w:t>
      </w:r>
      <w:proofErr w:type="spellStart"/>
      <w:r w:rsidRPr="004746F7">
        <w:rPr>
          <w:i/>
          <w:iCs/>
        </w:rPr>
        <w:t>texas</w:t>
      </w:r>
      <w:proofErr w:type="spellEnd"/>
      <w:r w:rsidRPr="004746F7">
        <w:t xml:space="preserve">. https://capitol.texas.gov/. Retrieved April 30, 2022, from </w:t>
      </w:r>
      <w:hyperlink r:id="rId14" w:history="1">
        <w:r w:rsidR="009C49E7" w:rsidRPr="007E67B3">
          <w:rPr>
            <w:rStyle w:val="Hyperlink"/>
          </w:rPr>
          <w:t>https://capitol.texas.gov/tlodocs/84R/handouts/C3822016060210001/11f0b93f-46d1-4dad-bb0b-8c390c491fe8.PDF</w:t>
        </w:r>
      </w:hyperlink>
      <w:r w:rsidRPr="004746F7">
        <w:t xml:space="preserve"> </w:t>
      </w:r>
    </w:p>
    <w:p w14:paraId="3FFD983F" w14:textId="64F319B3" w:rsidR="005765D3" w:rsidRPr="005765D3" w:rsidRDefault="005765D3" w:rsidP="005765D3">
      <w:pPr>
        <w:ind w:left="720" w:hanging="720"/>
      </w:pPr>
      <w:r w:rsidRPr="005765D3">
        <w:rPr>
          <w:color w:val="222222"/>
          <w:shd w:val="clear" w:color="auto" w:fill="FFFFFF"/>
        </w:rPr>
        <w:t xml:space="preserve">Perdue, R. T. (2023). Trashing Appalachia: Coal, </w:t>
      </w:r>
      <w:proofErr w:type="gramStart"/>
      <w:r w:rsidRPr="005765D3">
        <w:rPr>
          <w:color w:val="222222"/>
          <w:shd w:val="clear" w:color="auto" w:fill="FFFFFF"/>
        </w:rPr>
        <w:t>prisons</w:t>
      </w:r>
      <w:proofErr w:type="gramEnd"/>
      <w:r w:rsidRPr="005765D3">
        <w:rPr>
          <w:color w:val="222222"/>
          <w:shd w:val="clear" w:color="auto" w:fill="FFFFFF"/>
        </w:rPr>
        <w:t xml:space="preserve"> and whiteness in a region of refuse. </w:t>
      </w:r>
      <w:r w:rsidRPr="005765D3">
        <w:rPr>
          <w:i/>
          <w:iCs/>
          <w:color w:val="222222"/>
          <w:shd w:val="clear" w:color="auto" w:fill="FFFFFF"/>
        </w:rPr>
        <w:t>Punishment &amp; Society</w:t>
      </w:r>
      <w:r w:rsidRPr="005765D3">
        <w:rPr>
          <w:color w:val="222222"/>
          <w:shd w:val="clear" w:color="auto" w:fill="FFFFFF"/>
        </w:rPr>
        <w:t>, </w:t>
      </w:r>
      <w:r w:rsidRPr="005765D3">
        <w:rPr>
          <w:i/>
          <w:iCs/>
          <w:color w:val="222222"/>
          <w:shd w:val="clear" w:color="auto" w:fill="FFFFFF"/>
        </w:rPr>
        <w:t>25</w:t>
      </w:r>
      <w:r w:rsidRPr="005765D3">
        <w:rPr>
          <w:color w:val="222222"/>
          <w:shd w:val="clear" w:color="auto" w:fill="FFFFFF"/>
        </w:rPr>
        <w:t>(1), 21-41.</w:t>
      </w:r>
    </w:p>
    <w:p w14:paraId="3B2AEF82" w14:textId="7C78C3D4" w:rsidR="00CF7B7D" w:rsidRDefault="00CF7B7D" w:rsidP="00CF7B7D">
      <w:pPr>
        <w:ind w:left="720" w:hanging="720"/>
        <w:rPr>
          <w:color w:val="000000" w:themeColor="text1"/>
          <w:shd w:val="clear" w:color="auto" w:fill="FFFFFF"/>
        </w:rPr>
      </w:pPr>
      <w:r w:rsidRPr="00CF7B7D">
        <w:rPr>
          <w:color w:val="000000" w:themeColor="text1"/>
          <w:shd w:val="clear" w:color="auto" w:fill="FFFFFF"/>
        </w:rPr>
        <w:t xml:space="preserve">Pope, C. A., Burnett, R. T., Thun, M. J., Calle, E. E., </w:t>
      </w:r>
      <w:proofErr w:type="spellStart"/>
      <w:r w:rsidRPr="00CF7B7D">
        <w:rPr>
          <w:color w:val="000000" w:themeColor="text1"/>
          <w:shd w:val="clear" w:color="auto" w:fill="FFFFFF"/>
        </w:rPr>
        <w:t>Krewski</w:t>
      </w:r>
      <w:proofErr w:type="spellEnd"/>
      <w:r w:rsidRPr="00CF7B7D">
        <w:rPr>
          <w:color w:val="000000" w:themeColor="text1"/>
          <w:shd w:val="clear" w:color="auto" w:fill="FFFFFF"/>
        </w:rPr>
        <w:t xml:space="preserve">, D., Ito, K., &amp; Thurston, G. D. (2002). </w:t>
      </w:r>
      <w:proofErr w:type="spellStart"/>
      <w:r w:rsidRPr="00CF7B7D">
        <w:rPr>
          <w:color w:val="000000" w:themeColor="text1"/>
          <w:shd w:val="clear" w:color="auto" w:fill="FFFFFF"/>
        </w:rPr>
        <w:t>VLung</w:t>
      </w:r>
      <w:proofErr w:type="spellEnd"/>
      <w:r w:rsidRPr="00CF7B7D">
        <w:rPr>
          <w:color w:val="000000" w:themeColor="text1"/>
          <w:shd w:val="clear" w:color="auto" w:fill="FFFFFF"/>
        </w:rPr>
        <w:t xml:space="preserve"> Cancer, Cardiopulmonary Mortality, and </w:t>
      </w:r>
      <w:proofErr w:type="spellStart"/>
      <w:r w:rsidRPr="00CF7B7D">
        <w:rPr>
          <w:color w:val="000000" w:themeColor="text1"/>
          <w:shd w:val="clear" w:color="auto" w:fill="FFFFFF"/>
        </w:rPr>
        <w:t>Long'Term</w:t>
      </w:r>
      <w:proofErr w:type="spellEnd"/>
      <w:r w:rsidRPr="00CF7B7D">
        <w:rPr>
          <w:color w:val="000000" w:themeColor="text1"/>
          <w:shd w:val="clear" w:color="auto" w:fill="FFFFFF"/>
        </w:rPr>
        <w:t xml:space="preserve"> </w:t>
      </w:r>
      <w:proofErr w:type="spellStart"/>
      <w:r w:rsidRPr="00CF7B7D">
        <w:rPr>
          <w:color w:val="000000" w:themeColor="text1"/>
          <w:shd w:val="clear" w:color="auto" w:fill="FFFFFF"/>
        </w:rPr>
        <w:t>Ex'posure</w:t>
      </w:r>
      <w:proofErr w:type="spellEnd"/>
      <w:r w:rsidRPr="00CF7B7D">
        <w:rPr>
          <w:color w:val="000000" w:themeColor="text1"/>
          <w:shd w:val="clear" w:color="auto" w:fill="FFFFFF"/>
        </w:rPr>
        <w:t xml:space="preserve"> to Fine Particulate Air Pollution. </w:t>
      </w:r>
      <w:r w:rsidRPr="00CF7B7D">
        <w:rPr>
          <w:i/>
          <w:iCs/>
          <w:color w:val="000000" w:themeColor="text1"/>
          <w:shd w:val="clear" w:color="auto" w:fill="FFFFFF"/>
        </w:rPr>
        <w:t>V Journal of the American Medical Association</w:t>
      </w:r>
      <w:r w:rsidRPr="00CF7B7D">
        <w:rPr>
          <w:color w:val="000000" w:themeColor="text1"/>
          <w:shd w:val="clear" w:color="auto" w:fill="FFFFFF"/>
        </w:rPr>
        <w:t xml:space="preserve">, </w:t>
      </w:r>
      <w:r w:rsidRPr="00CF7B7D">
        <w:rPr>
          <w:i/>
          <w:iCs/>
          <w:color w:val="000000" w:themeColor="text1"/>
          <w:shd w:val="clear" w:color="auto" w:fill="FFFFFF"/>
        </w:rPr>
        <w:t>287</w:t>
      </w:r>
      <w:r w:rsidRPr="00CF7B7D">
        <w:rPr>
          <w:color w:val="000000" w:themeColor="text1"/>
          <w:shd w:val="clear" w:color="auto" w:fill="FFFFFF"/>
        </w:rPr>
        <w:t>(9), 1132.</w:t>
      </w:r>
    </w:p>
    <w:p w14:paraId="2C1D4B80" w14:textId="118AE431" w:rsidR="00262707" w:rsidRPr="00262707" w:rsidRDefault="00262707" w:rsidP="00262707">
      <w:pPr>
        <w:pStyle w:val="NormalWeb"/>
        <w:spacing w:before="0" w:beforeAutospacing="0" w:after="0" w:afterAutospacing="0"/>
        <w:ind w:left="562" w:hanging="562"/>
      </w:pPr>
      <w:r>
        <w:t xml:space="preserve">Prison Justice League. (2017, June). </w:t>
      </w:r>
      <w:r>
        <w:rPr>
          <w:i/>
          <w:iCs/>
        </w:rPr>
        <w:t>A rigged system - prison policy initiative</w:t>
      </w:r>
      <w:r>
        <w:t xml:space="preserve">. Retrieved March 6, 2023, from https://www.prisonpolicy.org/scans/prison_justice_league/a_rigged_system.pdf </w:t>
      </w:r>
    </w:p>
    <w:p w14:paraId="1A84C1A4" w14:textId="0C1CED05" w:rsidR="009C49E7" w:rsidRPr="009C49E7" w:rsidRDefault="009C49E7" w:rsidP="009C49E7">
      <w:pPr>
        <w:ind w:left="720" w:hanging="720"/>
      </w:pPr>
      <w:r w:rsidRPr="009C49E7">
        <w:rPr>
          <w:color w:val="222222"/>
          <w:shd w:val="clear" w:color="auto" w:fill="FFFFFF"/>
        </w:rPr>
        <w:t xml:space="preserve">Prost, S. G., </w:t>
      </w:r>
      <w:proofErr w:type="spellStart"/>
      <w:r w:rsidRPr="009C49E7">
        <w:rPr>
          <w:color w:val="222222"/>
          <w:shd w:val="clear" w:color="auto" w:fill="FFFFFF"/>
        </w:rPr>
        <w:t>Novisky</w:t>
      </w:r>
      <w:proofErr w:type="spellEnd"/>
      <w:r w:rsidRPr="009C49E7">
        <w:rPr>
          <w:color w:val="222222"/>
          <w:shd w:val="clear" w:color="auto" w:fill="FFFFFF"/>
        </w:rPr>
        <w:t xml:space="preserve">, M. A., </w:t>
      </w:r>
      <w:proofErr w:type="spellStart"/>
      <w:r w:rsidRPr="009C49E7">
        <w:rPr>
          <w:color w:val="222222"/>
          <w:shd w:val="clear" w:color="auto" w:fill="FFFFFF"/>
        </w:rPr>
        <w:t>Rorvig</w:t>
      </w:r>
      <w:proofErr w:type="spellEnd"/>
      <w:r w:rsidRPr="009C49E7">
        <w:rPr>
          <w:color w:val="222222"/>
          <w:shd w:val="clear" w:color="auto" w:fill="FFFFFF"/>
        </w:rPr>
        <w:t xml:space="preserve">, L., </w:t>
      </w:r>
      <w:proofErr w:type="spellStart"/>
      <w:r w:rsidRPr="009C49E7">
        <w:rPr>
          <w:color w:val="222222"/>
          <w:shd w:val="clear" w:color="auto" w:fill="FFFFFF"/>
        </w:rPr>
        <w:t>Zaller</w:t>
      </w:r>
      <w:proofErr w:type="spellEnd"/>
      <w:r w:rsidRPr="009C49E7">
        <w:rPr>
          <w:color w:val="222222"/>
          <w:shd w:val="clear" w:color="auto" w:fill="FFFFFF"/>
        </w:rPr>
        <w:t>, N., &amp; Williams, B. (2021). Prisons and COVID-19: A desperate call for gerontological expertise in correctional health care. </w:t>
      </w:r>
      <w:r w:rsidRPr="009C49E7">
        <w:rPr>
          <w:i/>
          <w:iCs/>
          <w:color w:val="222222"/>
          <w:shd w:val="clear" w:color="auto" w:fill="FFFFFF"/>
        </w:rPr>
        <w:t>The Gerontologist</w:t>
      </w:r>
      <w:r w:rsidRPr="009C49E7">
        <w:rPr>
          <w:color w:val="222222"/>
          <w:shd w:val="clear" w:color="auto" w:fill="FFFFFF"/>
        </w:rPr>
        <w:t>, </w:t>
      </w:r>
      <w:r w:rsidRPr="009C49E7">
        <w:rPr>
          <w:i/>
          <w:iCs/>
          <w:color w:val="222222"/>
          <w:shd w:val="clear" w:color="auto" w:fill="FFFFFF"/>
        </w:rPr>
        <w:t>61</w:t>
      </w:r>
      <w:r w:rsidRPr="009C49E7">
        <w:rPr>
          <w:color w:val="222222"/>
          <w:shd w:val="clear" w:color="auto" w:fill="FFFFFF"/>
        </w:rPr>
        <w:t>(1), 3-7.</w:t>
      </w:r>
    </w:p>
    <w:p w14:paraId="62C818DC" w14:textId="54FAF963" w:rsidR="00354B45" w:rsidRDefault="00D45527" w:rsidP="00C00563">
      <w:pPr>
        <w:rPr>
          <w:color w:val="000000" w:themeColor="text1"/>
          <w:shd w:val="clear" w:color="auto" w:fill="FFFFFF"/>
        </w:rPr>
      </w:pPr>
      <w:proofErr w:type="spellStart"/>
      <w:r w:rsidRPr="00D45527">
        <w:rPr>
          <w:color w:val="222222"/>
          <w:shd w:val="clear" w:color="auto" w:fill="FFFFFF"/>
        </w:rPr>
        <w:t>Raghupathi</w:t>
      </w:r>
      <w:proofErr w:type="spellEnd"/>
      <w:r w:rsidRPr="00D45527">
        <w:rPr>
          <w:color w:val="222222"/>
          <w:shd w:val="clear" w:color="auto" w:fill="FFFFFF"/>
        </w:rPr>
        <w:t xml:space="preserve">, W., &amp; </w:t>
      </w:r>
      <w:proofErr w:type="spellStart"/>
      <w:r w:rsidRPr="00D45527">
        <w:rPr>
          <w:color w:val="222222"/>
          <w:shd w:val="clear" w:color="auto" w:fill="FFFFFF"/>
        </w:rPr>
        <w:t>Raghupathi</w:t>
      </w:r>
      <w:proofErr w:type="spellEnd"/>
      <w:r w:rsidRPr="00D45527">
        <w:rPr>
          <w:color w:val="222222"/>
          <w:shd w:val="clear" w:color="auto" w:fill="FFFFFF"/>
        </w:rPr>
        <w:t xml:space="preserve">, V. (2018). An empirical study of chronic diseases in the United </w:t>
      </w:r>
      <w:r>
        <w:rPr>
          <w:color w:val="222222"/>
          <w:shd w:val="clear" w:color="auto" w:fill="FFFFFF"/>
        </w:rPr>
        <w:tab/>
      </w:r>
      <w:r w:rsidRPr="00D45527">
        <w:rPr>
          <w:color w:val="222222"/>
          <w:shd w:val="clear" w:color="auto" w:fill="FFFFFF"/>
        </w:rPr>
        <w:t>States: a visual analytics approach to public health. </w:t>
      </w:r>
      <w:r w:rsidRPr="00D45527">
        <w:rPr>
          <w:i/>
          <w:iCs/>
          <w:color w:val="222222"/>
          <w:shd w:val="clear" w:color="auto" w:fill="FFFFFF"/>
        </w:rPr>
        <w:t xml:space="preserve">International Journal of </w:t>
      </w:r>
      <w:r w:rsidRPr="00A57D8F">
        <w:rPr>
          <w:i/>
          <w:iCs/>
          <w:color w:val="000000" w:themeColor="text1"/>
          <w:shd w:val="clear" w:color="auto" w:fill="FFFFFF"/>
        </w:rPr>
        <w:tab/>
        <w:t>E</w:t>
      </w:r>
      <w:r w:rsidRPr="00D45527">
        <w:rPr>
          <w:i/>
          <w:iCs/>
          <w:color w:val="000000" w:themeColor="text1"/>
          <w:shd w:val="clear" w:color="auto" w:fill="FFFFFF"/>
        </w:rPr>
        <w:t xml:space="preserve">nvironmental </w:t>
      </w:r>
      <w:r w:rsidRPr="00A57D8F">
        <w:rPr>
          <w:i/>
          <w:iCs/>
          <w:color w:val="000000" w:themeColor="text1"/>
          <w:shd w:val="clear" w:color="auto" w:fill="FFFFFF"/>
        </w:rPr>
        <w:t>R</w:t>
      </w:r>
      <w:r w:rsidRPr="00D45527">
        <w:rPr>
          <w:i/>
          <w:iCs/>
          <w:color w:val="000000" w:themeColor="text1"/>
          <w:shd w:val="clear" w:color="auto" w:fill="FFFFFF"/>
        </w:rPr>
        <w:t xml:space="preserve">esearch and </w:t>
      </w:r>
      <w:r w:rsidRPr="00A57D8F">
        <w:rPr>
          <w:i/>
          <w:iCs/>
          <w:color w:val="000000" w:themeColor="text1"/>
          <w:shd w:val="clear" w:color="auto" w:fill="FFFFFF"/>
        </w:rPr>
        <w:t>P</w:t>
      </w:r>
      <w:r w:rsidRPr="00D45527">
        <w:rPr>
          <w:i/>
          <w:iCs/>
          <w:color w:val="000000" w:themeColor="text1"/>
          <w:shd w:val="clear" w:color="auto" w:fill="FFFFFF"/>
        </w:rPr>
        <w:t xml:space="preserve">ublic </w:t>
      </w:r>
      <w:r w:rsidRPr="00A57D8F">
        <w:rPr>
          <w:i/>
          <w:iCs/>
          <w:color w:val="000000" w:themeColor="text1"/>
          <w:shd w:val="clear" w:color="auto" w:fill="FFFFFF"/>
        </w:rPr>
        <w:t>H</w:t>
      </w:r>
      <w:r w:rsidRPr="00D45527">
        <w:rPr>
          <w:i/>
          <w:iCs/>
          <w:color w:val="000000" w:themeColor="text1"/>
          <w:shd w:val="clear" w:color="auto" w:fill="FFFFFF"/>
        </w:rPr>
        <w:t>ealth</w:t>
      </w:r>
      <w:r w:rsidRPr="00D45527">
        <w:rPr>
          <w:color w:val="000000" w:themeColor="text1"/>
          <w:shd w:val="clear" w:color="auto" w:fill="FFFFFF"/>
        </w:rPr>
        <w:t>, </w:t>
      </w:r>
      <w:r w:rsidRPr="00D45527">
        <w:rPr>
          <w:i/>
          <w:iCs/>
          <w:color w:val="000000" w:themeColor="text1"/>
          <w:shd w:val="clear" w:color="auto" w:fill="FFFFFF"/>
        </w:rPr>
        <w:t>15</w:t>
      </w:r>
      <w:r w:rsidRPr="00D45527">
        <w:rPr>
          <w:color w:val="000000" w:themeColor="text1"/>
          <w:shd w:val="clear" w:color="auto" w:fill="FFFFFF"/>
        </w:rPr>
        <w:t>(3), 431.</w:t>
      </w:r>
    </w:p>
    <w:p w14:paraId="3B3E3F1B" w14:textId="610ACCF0" w:rsidR="0000229D" w:rsidRPr="0000229D" w:rsidRDefault="0000229D" w:rsidP="0000229D">
      <w:pPr>
        <w:ind w:left="720" w:hanging="720"/>
      </w:pPr>
      <w:r w:rsidRPr="0000229D">
        <w:rPr>
          <w:color w:val="222222"/>
          <w:shd w:val="clear" w:color="auto" w:fill="FFFFFF"/>
        </w:rPr>
        <w:t xml:space="preserve">Rao, S., Ali, K., </w:t>
      </w:r>
      <w:proofErr w:type="spellStart"/>
      <w:r w:rsidRPr="0000229D">
        <w:rPr>
          <w:color w:val="222222"/>
          <w:shd w:val="clear" w:color="auto" w:fill="FFFFFF"/>
        </w:rPr>
        <w:t>Berdine</w:t>
      </w:r>
      <w:proofErr w:type="spellEnd"/>
      <w:r w:rsidRPr="0000229D">
        <w:rPr>
          <w:color w:val="222222"/>
          <w:shd w:val="clear" w:color="auto" w:fill="FFFFFF"/>
        </w:rPr>
        <w:t>, G., Test, V., &amp; Nugent, K. (2021, January). The evolution of health care in the Texas correctional system and the impact of COVID-19. In </w:t>
      </w:r>
      <w:r w:rsidRPr="0000229D">
        <w:rPr>
          <w:i/>
          <w:iCs/>
          <w:color w:val="222222"/>
          <w:shd w:val="clear" w:color="auto" w:fill="FFFFFF"/>
        </w:rPr>
        <w:t>Baylor University Medical Center Proceedings</w:t>
      </w:r>
      <w:r w:rsidRPr="0000229D">
        <w:rPr>
          <w:color w:val="222222"/>
          <w:shd w:val="clear" w:color="auto" w:fill="FFFFFF"/>
        </w:rPr>
        <w:t> (Vol. 34, No. 1, pp. 76-80). Taylor &amp; Francis.</w:t>
      </w:r>
    </w:p>
    <w:p w14:paraId="0FE8E876" w14:textId="42BFB38A" w:rsidR="00945947" w:rsidRDefault="00945947" w:rsidP="00945947">
      <w:pPr>
        <w:ind w:left="720" w:hanging="720"/>
        <w:rPr>
          <w:color w:val="222222"/>
          <w:shd w:val="clear" w:color="auto" w:fill="FFFFFF"/>
        </w:rPr>
      </w:pPr>
      <w:r w:rsidRPr="00945947">
        <w:rPr>
          <w:color w:val="222222"/>
          <w:shd w:val="clear" w:color="auto" w:fill="FFFFFF"/>
        </w:rPr>
        <w:t>Ross, J. I. (2012). Debunking the myths of American corrections: An exploratory analysis. </w:t>
      </w:r>
      <w:r w:rsidRPr="00945947">
        <w:rPr>
          <w:i/>
          <w:iCs/>
          <w:color w:val="222222"/>
          <w:shd w:val="clear" w:color="auto" w:fill="FFFFFF"/>
        </w:rPr>
        <w:t>Critical Criminology</w:t>
      </w:r>
      <w:r w:rsidRPr="00945947">
        <w:rPr>
          <w:color w:val="222222"/>
          <w:shd w:val="clear" w:color="auto" w:fill="FFFFFF"/>
        </w:rPr>
        <w:t>, </w:t>
      </w:r>
      <w:r w:rsidRPr="00945947">
        <w:rPr>
          <w:i/>
          <w:iCs/>
          <w:color w:val="222222"/>
          <w:shd w:val="clear" w:color="auto" w:fill="FFFFFF"/>
        </w:rPr>
        <w:t>20</w:t>
      </w:r>
      <w:r w:rsidRPr="00945947">
        <w:rPr>
          <w:color w:val="222222"/>
          <w:shd w:val="clear" w:color="auto" w:fill="FFFFFF"/>
        </w:rPr>
        <w:t>(4), 409-427.</w:t>
      </w:r>
    </w:p>
    <w:p w14:paraId="4F578FDF" w14:textId="565B19F3" w:rsidR="006A245A" w:rsidRPr="006A245A" w:rsidRDefault="006A245A" w:rsidP="006A245A">
      <w:pPr>
        <w:ind w:left="562" w:hanging="562"/>
      </w:pPr>
      <w:r w:rsidRPr="006A245A">
        <w:lastRenderedPageBreak/>
        <w:t xml:space="preserve">Ryerson, S., &amp; </w:t>
      </w:r>
      <w:proofErr w:type="spellStart"/>
      <w:r w:rsidRPr="006A245A">
        <w:t>Schept</w:t>
      </w:r>
      <w:proofErr w:type="spellEnd"/>
      <w:r w:rsidRPr="006A245A">
        <w:t xml:space="preserve">, J. (2023, March 29). </w:t>
      </w:r>
      <w:r w:rsidRPr="006A245A">
        <w:rPr>
          <w:i/>
          <w:iCs/>
        </w:rPr>
        <w:t>Eastern Kentucky needs flood relief, not another federal prison</w:t>
      </w:r>
      <w:r w:rsidRPr="006A245A">
        <w:t xml:space="preserve">. The New York Times. https://www.nytimes.com/2023/03/29/opinion/kentucky-prison-flood.html?unlocked_article_code=mC_yc2IpfE1eKF-ckqREjN_MrGd4Bz44nHK5gwDhZDyxnZDQ0YUJ88FQUr61_mxVhGAglwqVnL8tySpoH1jJN03lKqk8t8QNCD0UI58AjSASSmhBRjvgZXe_q0UddTjpXYW6d3NbspbrrTCf9ow62YS_7XjabFo9FJ5hHd-m_i61RnBoFgcB27ptp1kEAl22q48ExMj5r6C2-ocnZrFFKpWVT-Qsutn45pZPjJplqLTgwfnhcY_QWDVnrmY0hnMQD5eXqsM-p66srkOS5i9muJGbiS1f3mBzQr9C5JcyaYDLQ0kZBzOt0dZH5r6DsnWCQEx69xhTttZsvVmmOLTJ&amp;smid=url-share </w:t>
      </w:r>
    </w:p>
    <w:p w14:paraId="5118E1F5" w14:textId="054EE8EB" w:rsidR="001B069E" w:rsidRPr="001B069E" w:rsidRDefault="001B069E" w:rsidP="001B069E">
      <w:pPr>
        <w:ind w:left="720" w:hanging="720"/>
      </w:pPr>
      <w:proofErr w:type="spellStart"/>
      <w:r w:rsidRPr="001B069E">
        <w:rPr>
          <w:color w:val="222222"/>
          <w:shd w:val="clear" w:color="auto" w:fill="FFFFFF"/>
        </w:rPr>
        <w:t>Schept</w:t>
      </w:r>
      <w:proofErr w:type="spellEnd"/>
      <w:r w:rsidRPr="001B069E">
        <w:rPr>
          <w:color w:val="222222"/>
          <w:shd w:val="clear" w:color="auto" w:fill="FFFFFF"/>
        </w:rPr>
        <w:t>, J. (2014). (Un) seeing like a prison: Counter-visual ethnography of the carceral state. </w:t>
      </w:r>
      <w:r w:rsidRPr="001B069E">
        <w:rPr>
          <w:i/>
          <w:iCs/>
          <w:color w:val="222222"/>
          <w:shd w:val="clear" w:color="auto" w:fill="FFFFFF"/>
        </w:rPr>
        <w:t>Theoretical Criminology</w:t>
      </w:r>
      <w:r w:rsidRPr="001B069E">
        <w:rPr>
          <w:color w:val="222222"/>
          <w:shd w:val="clear" w:color="auto" w:fill="FFFFFF"/>
        </w:rPr>
        <w:t>, </w:t>
      </w:r>
      <w:r w:rsidRPr="001B069E">
        <w:rPr>
          <w:i/>
          <w:iCs/>
          <w:color w:val="222222"/>
          <w:shd w:val="clear" w:color="auto" w:fill="FFFFFF"/>
        </w:rPr>
        <w:t>18</w:t>
      </w:r>
      <w:r w:rsidRPr="001B069E">
        <w:rPr>
          <w:color w:val="222222"/>
          <w:shd w:val="clear" w:color="auto" w:fill="FFFFFF"/>
        </w:rPr>
        <w:t>(2), 198-223.</w:t>
      </w:r>
    </w:p>
    <w:p w14:paraId="13FE1AB5" w14:textId="52D17E16" w:rsidR="006868B8" w:rsidRPr="00A57D8F" w:rsidRDefault="008E4639" w:rsidP="00C00563">
      <w:pPr>
        <w:rPr>
          <w:color w:val="000000" w:themeColor="text1"/>
          <w:shd w:val="clear" w:color="auto" w:fill="FFFFFF"/>
        </w:rPr>
      </w:pPr>
      <w:proofErr w:type="spellStart"/>
      <w:r w:rsidRPr="00A57D8F">
        <w:rPr>
          <w:color w:val="000000" w:themeColor="text1"/>
          <w:shd w:val="clear" w:color="auto" w:fill="FFFFFF"/>
        </w:rPr>
        <w:t>Tessum</w:t>
      </w:r>
      <w:proofErr w:type="spellEnd"/>
      <w:r w:rsidRPr="00A57D8F">
        <w:rPr>
          <w:color w:val="000000" w:themeColor="text1"/>
          <w:shd w:val="clear" w:color="auto" w:fill="FFFFFF"/>
        </w:rPr>
        <w:t xml:space="preserve">, C. W., </w:t>
      </w:r>
      <w:proofErr w:type="spellStart"/>
      <w:r w:rsidRPr="00A57D8F">
        <w:rPr>
          <w:color w:val="000000" w:themeColor="text1"/>
          <w:shd w:val="clear" w:color="auto" w:fill="FFFFFF"/>
        </w:rPr>
        <w:t>Paolella</w:t>
      </w:r>
      <w:proofErr w:type="spellEnd"/>
      <w:r w:rsidRPr="00A57D8F">
        <w:rPr>
          <w:color w:val="000000" w:themeColor="text1"/>
          <w:shd w:val="clear" w:color="auto" w:fill="FFFFFF"/>
        </w:rPr>
        <w:t xml:space="preserve">, D. A., Chambliss, S. E., </w:t>
      </w:r>
      <w:proofErr w:type="spellStart"/>
      <w:r w:rsidRPr="00A57D8F">
        <w:rPr>
          <w:color w:val="000000" w:themeColor="text1"/>
          <w:shd w:val="clear" w:color="auto" w:fill="FFFFFF"/>
        </w:rPr>
        <w:t>Apte</w:t>
      </w:r>
      <w:proofErr w:type="spellEnd"/>
      <w:r w:rsidRPr="00A57D8F">
        <w:rPr>
          <w:color w:val="000000" w:themeColor="text1"/>
          <w:shd w:val="clear" w:color="auto" w:fill="FFFFFF"/>
        </w:rPr>
        <w:t xml:space="preserve">, J. S., Hill, J. D., &amp; Marshall, J. D. </w:t>
      </w:r>
      <w:r w:rsidRPr="00A57D8F">
        <w:rPr>
          <w:color w:val="000000" w:themeColor="text1"/>
          <w:shd w:val="clear" w:color="auto" w:fill="FFFFFF"/>
        </w:rPr>
        <w:tab/>
        <w:t xml:space="preserve">(2021). PM2. 5 polluters disproportionately and systemically affect people of color in the </w:t>
      </w:r>
      <w:r w:rsidRPr="00A57D8F">
        <w:rPr>
          <w:color w:val="000000" w:themeColor="text1"/>
          <w:shd w:val="clear" w:color="auto" w:fill="FFFFFF"/>
        </w:rPr>
        <w:tab/>
        <w:t>United States. </w:t>
      </w:r>
      <w:r w:rsidRPr="00A57D8F">
        <w:rPr>
          <w:i/>
          <w:iCs/>
          <w:color w:val="000000" w:themeColor="text1"/>
          <w:shd w:val="clear" w:color="auto" w:fill="FFFFFF"/>
        </w:rPr>
        <w:t>Science Advances</w:t>
      </w:r>
      <w:r w:rsidRPr="00A57D8F">
        <w:rPr>
          <w:color w:val="000000" w:themeColor="text1"/>
          <w:shd w:val="clear" w:color="auto" w:fill="FFFFFF"/>
        </w:rPr>
        <w:t>, </w:t>
      </w:r>
      <w:r w:rsidRPr="00A57D8F">
        <w:rPr>
          <w:i/>
          <w:iCs/>
          <w:color w:val="000000" w:themeColor="text1"/>
          <w:shd w:val="clear" w:color="auto" w:fill="FFFFFF"/>
        </w:rPr>
        <w:t>7</w:t>
      </w:r>
      <w:r w:rsidRPr="00A57D8F">
        <w:rPr>
          <w:color w:val="000000" w:themeColor="text1"/>
          <w:shd w:val="clear" w:color="auto" w:fill="FFFFFF"/>
        </w:rPr>
        <w:t>(18), eabf4491.</w:t>
      </w:r>
    </w:p>
    <w:p w14:paraId="68D57E8F" w14:textId="4D0ED1F2" w:rsidR="003E6C10" w:rsidRDefault="003E6C10" w:rsidP="003E6C10">
      <w:pPr>
        <w:ind w:left="720" w:hanging="720"/>
        <w:rPr>
          <w:rStyle w:val="Hyperlink"/>
          <w:color w:val="000000" w:themeColor="text1"/>
          <w:shd w:val="clear" w:color="auto" w:fill="FFFFFF"/>
        </w:rPr>
      </w:pPr>
      <w:r w:rsidRPr="003E6C10">
        <w:rPr>
          <w:color w:val="000000" w:themeColor="text1"/>
          <w:shd w:val="clear" w:color="auto" w:fill="FFFFFF"/>
        </w:rPr>
        <w:t>Toman, E. L. (2022). Something in the air: Toxic pollution in and around U.S. prisons. </w:t>
      </w:r>
      <w:r w:rsidRPr="003E6C10">
        <w:rPr>
          <w:i/>
          <w:iCs/>
          <w:color w:val="000000" w:themeColor="text1"/>
          <w:shd w:val="clear" w:color="auto" w:fill="FFFFFF"/>
        </w:rPr>
        <w:t>Punishment &amp; Society</w:t>
      </w:r>
      <w:r w:rsidRPr="003E6C10">
        <w:rPr>
          <w:color w:val="000000" w:themeColor="text1"/>
          <w:shd w:val="clear" w:color="auto" w:fill="FFFFFF"/>
        </w:rPr>
        <w:t>, </w:t>
      </w:r>
      <w:r w:rsidRPr="003E6C10">
        <w:rPr>
          <w:i/>
          <w:iCs/>
          <w:color w:val="000000" w:themeColor="text1"/>
          <w:shd w:val="clear" w:color="auto" w:fill="FFFFFF"/>
        </w:rPr>
        <w:t>0</w:t>
      </w:r>
      <w:r w:rsidRPr="003E6C10">
        <w:rPr>
          <w:color w:val="000000" w:themeColor="text1"/>
          <w:shd w:val="clear" w:color="auto" w:fill="FFFFFF"/>
        </w:rPr>
        <w:t>(0). </w:t>
      </w:r>
      <w:hyperlink r:id="rId15" w:history="1">
        <w:r w:rsidRPr="003E6C10">
          <w:rPr>
            <w:rStyle w:val="Hyperlink"/>
            <w:color w:val="000000" w:themeColor="text1"/>
            <w:shd w:val="clear" w:color="auto" w:fill="FFFFFF"/>
          </w:rPr>
          <w:t>https://doi.org/10.1177/14624745221114826</w:t>
        </w:r>
      </w:hyperlink>
    </w:p>
    <w:p w14:paraId="26D3D910" w14:textId="77777777" w:rsidR="00BB120C" w:rsidRPr="00BA525D" w:rsidRDefault="00BB120C" w:rsidP="00BB120C">
      <w:r>
        <w:t xml:space="preserve">U.S. </w:t>
      </w:r>
      <w:r w:rsidRPr="007C1005">
        <w:t>Environmental Protection Agency. (20</w:t>
      </w:r>
      <w:r>
        <w:t>21</w:t>
      </w:r>
      <w:r w:rsidRPr="007C1005">
        <w:t xml:space="preserve">). Policy Assessment for the Review of the </w:t>
      </w:r>
      <w:r w:rsidRPr="007C1005">
        <w:tab/>
        <w:t xml:space="preserve">National Ambient Air Quality Standards for Particulate Matter, External Review Draft. </w:t>
      </w:r>
      <w:r w:rsidRPr="007C1005">
        <w:tab/>
        <w:t xml:space="preserve">Retrieved from </w:t>
      </w:r>
      <w:hyperlink r:id="rId16" w:history="1">
        <w:r w:rsidRPr="0090033E">
          <w:rPr>
            <w:rStyle w:val="Hyperlink"/>
          </w:rPr>
          <w:t>https://www.epa.gov/system/files/documents/2021-10/draft-policy-</w:t>
        </w:r>
      </w:hyperlink>
      <w:r>
        <w:tab/>
      </w:r>
      <w:r w:rsidRPr="003526B8">
        <w:t>assessment-for-the-reconsideration-of-the-pm-naaqs_october-2021_0.pdf</w:t>
      </w:r>
    </w:p>
    <w:p w14:paraId="283AFDBA" w14:textId="77777777" w:rsidR="00BB120C" w:rsidRPr="0018242A" w:rsidRDefault="00BB120C" w:rsidP="00BB120C">
      <w:pPr>
        <w:pStyle w:val="NormalWeb"/>
        <w:spacing w:before="0" w:beforeAutospacing="0" w:after="0" w:afterAutospacing="0"/>
        <w:ind w:left="567" w:hanging="567"/>
      </w:pPr>
      <w:r>
        <w:t xml:space="preserve">U.S. Environmental Protection Agency. (2022a, October 24). </w:t>
      </w:r>
      <w:r>
        <w:rPr>
          <w:i/>
          <w:iCs/>
        </w:rPr>
        <w:t>RSIG-Related Downloadable Data Files</w:t>
      </w:r>
      <w:r>
        <w:t xml:space="preserve">. EPA. Retrieved March 9, 2023, from https://www.epa.gov/hesc/rsig-related-downloadable-data-files </w:t>
      </w:r>
    </w:p>
    <w:p w14:paraId="4C990EA6" w14:textId="65E57C73" w:rsidR="00BB120C" w:rsidRPr="00BB120C" w:rsidRDefault="00BB120C" w:rsidP="00BB120C">
      <w:pPr>
        <w:ind w:left="562" w:hanging="562"/>
      </w:pPr>
      <w:r>
        <w:t xml:space="preserve">U.S. </w:t>
      </w:r>
      <w:r w:rsidRPr="003E111D">
        <w:t>Environmental Protection Agency. (2022</w:t>
      </w:r>
      <w:r>
        <w:t>b</w:t>
      </w:r>
      <w:r w:rsidRPr="003E111D">
        <w:t xml:space="preserve">, February 25). </w:t>
      </w:r>
      <w:r w:rsidRPr="003E111D">
        <w:rPr>
          <w:i/>
          <w:iCs/>
        </w:rPr>
        <w:t>What is the Toxics Release Inventory?</w:t>
      </w:r>
      <w:r w:rsidRPr="003E111D">
        <w:t xml:space="preserve"> EPA. Retrieved April 30, 2022, from https://www.epa.gov/toxics-release-inventory-tri-program/what-toxics-release-inventory</w:t>
      </w:r>
      <w:r>
        <w:t>.</w:t>
      </w:r>
    </w:p>
    <w:p w14:paraId="1E499F78" w14:textId="514412AF" w:rsidR="003526B8" w:rsidRDefault="0031740B" w:rsidP="00C00563">
      <w:pPr>
        <w:rPr>
          <w:color w:val="222222"/>
          <w:shd w:val="clear" w:color="auto" w:fill="FFFFFF"/>
        </w:rPr>
      </w:pPr>
      <w:r w:rsidRPr="002B36D0">
        <w:rPr>
          <w:color w:val="222222"/>
          <w:shd w:val="clear" w:color="auto" w:fill="FFFFFF"/>
        </w:rPr>
        <w:t xml:space="preserve">Vaughn, M. S., &amp; Carroll, L. (1998). Separate and unequal: Prison versus free-world medical </w:t>
      </w:r>
      <w:r>
        <w:rPr>
          <w:color w:val="222222"/>
          <w:shd w:val="clear" w:color="auto" w:fill="FFFFFF"/>
        </w:rPr>
        <w:tab/>
      </w:r>
      <w:r w:rsidRPr="002B36D0">
        <w:rPr>
          <w:color w:val="222222"/>
          <w:shd w:val="clear" w:color="auto" w:fill="FFFFFF"/>
        </w:rPr>
        <w:t>care. </w:t>
      </w:r>
      <w:r w:rsidRPr="002B36D0">
        <w:rPr>
          <w:i/>
          <w:iCs/>
          <w:color w:val="222222"/>
          <w:shd w:val="clear" w:color="auto" w:fill="FFFFFF"/>
        </w:rPr>
        <w:t>Justice Quarterly</w:t>
      </w:r>
      <w:r w:rsidRPr="002B36D0">
        <w:rPr>
          <w:color w:val="222222"/>
          <w:shd w:val="clear" w:color="auto" w:fill="FFFFFF"/>
        </w:rPr>
        <w:t>, </w:t>
      </w:r>
      <w:r w:rsidRPr="002B36D0">
        <w:rPr>
          <w:i/>
          <w:iCs/>
          <w:color w:val="222222"/>
          <w:shd w:val="clear" w:color="auto" w:fill="FFFFFF"/>
        </w:rPr>
        <w:t>15</w:t>
      </w:r>
      <w:r w:rsidRPr="002B36D0">
        <w:rPr>
          <w:color w:val="222222"/>
          <w:shd w:val="clear" w:color="auto" w:fill="FFFFFF"/>
        </w:rPr>
        <w:t>(1), 3-40.</w:t>
      </w:r>
    </w:p>
    <w:p w14:paraId="3B8DB564" w14:textId="092A17EF" w:rsidR="00AC0219" w:rsidRDefault="00AC0219" w:rsidP="00C00563">
      <w:pPr>
        <w:rPr>
          <w:color w:val="222222"/>
          <w:shd w:val="clear" w:color="auto" w:fill="FFFFFF"/>
        </w:rPr>
      </w:pPr>
      <w:r w:rsidRPr="00AC0219">
        <w:rPr>
          <w:color w:val="222222"/>
          <w:shd w:val="clear" w:color="auto" w:fill="FFFFFF"/>
        </w:rPr>
        <w:t xml:space="preserve">Weill, J. M. (2020). Prisoners on the </w:t>
      </w:r>
      <w:proofErr w:type="spellStart"/>
      <w:r w:rsidRPr="00AC0219">
        <w:rPr>
          <w:color w:val="222222"/>
          <w:shd w:val="clear" w:color="auto" w:fill="FFFFFF"/>
        </w:rPr>
        <w:t>fireline</w:t>
      </w:r>
      <w:proofErr w:type="spellEnd"/>
      <w:r w:rsidRPr="00AC0219">
        <w:rPr>
          <w:color w:val="222222"/>
          <w:shd w:val="clear" w:color="auto" w:fill="FFFFFF"/>
        </w:rPr>
        <w:t xml:space="preserve">: The application of ethical principles and guidelines </w:t>
      </w:r>
      <w:r>
        <w:rPr>
          <w:color w:val="222222"/>
          <w:shd w:val="clear" w:color="auto" w:fill="FFFFFF"/>
        </w:rPr>
        <w:tab/>
      </w:r>
      <w:r w:rsidRPr="00AC0219">
        <w:rPr>
          <w:color w:val="222222"/>
          <w:shd w:val="clear" w:color="auto" w:fill="FFFFFF"/>
        </w:rPr>
        <w:t>to prison fire camps. </w:t>
      </w:r>
      <w:r w:rsidRPr="00AC0219">
        <w:rPr>
          <w:i/>
          <w:iCs/>
          <w:color w:val="222222"/>
          <w:shd w:val="clear" w:color="auto" w:fill="FFFFFF"/>
        </w:rPr>
        <w:t>Ethics &amp; Behavior</w:t>
      </w:r>
      <w:r w:rsidRPr="00AC0219">
        <w:rPr>
          <w:color w:val="222222"/>
          <w:shd w:val="clear" w:color="auto" w:fill="FFFFFF"/>
        </w:rPr>
        <w:t>, </w:t>
      </w:r>
      <w:r w:rsidRPr="00AC0219">
        <w:rPr>
          <w:i/>
          <w:iCs/>
          <w:color w:val="222222"/>
          <w:shd w:val="clear" w:color="auto" w:fill="FFFFFF"/>
        </w:rPr>
        <w:t>30</w:t>
      </w:r>
      <w:r w:rsidRPr="00AC0219">
        <w:rPr>
          <w:color w:val="222222"/>
          <w:shd w:val="clear" w:color="auto" w:fill="FFFFFF"/>
        </w:rPr>
        <w:t>(2), 112-125.</w:t>
      </w:r>
    </w:p>
    <w:p w14:paraId="2EE4E3E0" w14:textId="7B4C2A3F" w:rsidR="006B5A2E" w:rsidRDefault="006B5A2E" w:rsidP="006B5A2E">
      <w:pPr>
        <w:ind w:left="720" w:hanging="720"/>
        <w:rPr>
          <w:rFonts w:eastAsiaTheme="minorHAnsi"/>
          <w:color w:val="1A1A1A"/>
        </w:rPr>
      </w:pPr>
      <w:r w:rsidRPr="006B5A2E">
        <w:rPr>
          <w:rFonts w:eastAsiaTheme="minorHAnsi"/>
          <w:color w:val="1A1A1A"/>
        </w:rPr>
        <w:t>Wildeman, C., &amp; Wang, E. A. (2017). Mass incarceration, public health, and widening inequality in the USA. </w:t>
      </w:r>
      <w:r w:rsidRPr="006B5A2E">
        <w:rPr>
          <w:rFonts w:eastAsiaTheme="minorHAnsi"/>
          <w:i/>
          <w:iCs/>
          <w:color w:val="1A1A1A"/>
        </w:rPr>
        <w:t>The Lancet</w:t>
      </w:r>
      <w:r w:rsidRPr="006B5A2E">
        <w:rPr>
          <w:rFonts w:eastAsiaTheme="minorHAnsi"/>
          <w:color w:val="1A1A1A"/>
        </w:rPr>
        <w:t>, </w:t>
      </w:r>
      <w:r w:rsidRPr="006B5A2E">
        <w:rPr>
          <w:rFonts w:eastAsiaTheme="minorHAnsi"/>
          <w:i/>
          <w:iCs/>
          <w:color w:val="1A1A1A"/>
        </w:rPr>
        <w:t>389</w:t>
      </w:r>
      <w:r w:rsidRPr="006B5A2E">
        <w:rPr>
          <w:rFonts w:eastAsiaTheme="minorHAnsi"/>
          <w:color w:val="1A1A1A"/>
        </w:rPr>
        <w:t>(10077), 1464-1474.</w:t>
      </w:r>
    </w:p>
    <w:p w14:paraId="33FDBFFA" w14:textId="5643BF60" w:rsidR="001E2081" w:rsidRPr="001E2081" w:rsidRDefault="001E2081" w:rsidP="001E2081">
      <w:pPr>
        <w:ind w:left="720" w:hanging="720"/>
      </w:pPr>
      <w:r w:rsidRPr="001E2081">
        <w:rPr>
          <w:color w:val="222222"/>
          <w:shd w:val="clear" w:color="auto" w:fill="FFFFFF"/>
        </w:rPr>
        <w:t xml:space="preserve">Williams, B. A., Baillargeon, J. G., Lindquist, K., Walter, L. C., </w:t>
      </w:r>
      <w:proofErr w:type="spellStart"/>
      <w:r w:rsidRPr="001E2081">
        <w:rPr>
          <w:color w:val="222222"/>
          <w:shd w:val="clear" w:color="auto" w:fill="FFFFFF"/>
        </w:rPr>
        <w:t>Covinsky</w:t>
      </w:r>
      <w:proofErr w:type="spellEnd"/>
      <w:r w:rsidRPr="001E2081">
        <w:rPr>
          <w:color w:val="222222"/>
          <w:shd w:val="clear" w:color="auto" w:fill="FFFFFF"/>
        </w:rPr>
        <w:t>, K. E., Whitson, H. E., &amp; Steinman, M. A. (2010). Medication prescribing practices for older prisoners in the Texas prison system. </w:t>
      </w:r>
      <w:r w:rsidRPr="001E2081">
        <w:rPr>
          <w:i/>
          <w:iCs/>
          <w:color w:val="222222"/>
          <w:shd w:val="clear" w:color="auto" w:fill="FFFFFF"/>
        </w:rPr>
        <w:t>American Journal of Public Health</w:t>
      </w:r>
      <w:r w:rsidRPr="001E2081">
        <w:rPr>
          <w:color w:val="222222"/>
          <w:shd w:val="clear" w:color="auto" w:fill="FFFFFF"/>
        </w:rPr>
        <w:t>, </w:t>
      </w:r>
      <w:r w:rsidRPr="001E2081">
        <w:rPr>
          <w:i/>
          <w:iCs/>
          <w:color w:val="222222"/>
          <w:shd w:val="clear" w:color="auto" w:fill="FFFFFF"/>
        </w:rPr>
        <w:t>100</w:t>
      </w:r>
      <w:r w:rsidRPr="001E2081">
        <w:rPr>
          <w:color w:val="222222"/>
          <w:shd w:val="clear" w:color="auto" w:fill="FFFFFF"/>
        </w:rPr>
        <w:t>(4), 756-761.</w:t>
      </w:r>
    </w:p>
    <w:p w14:paraId="3E50DE94" w14:textId="7857F996" w:rsidR="00DB0EEA" w:rsidRDefault="0023439C" w:rsidP="001C6CE0">
      <w:pPr>
        <w:rPr>
          <w:color w:val="222222"/>
          <w:shd w:val="clear" w:color="auto" w:fill="FFFFFF"/>
        </w:rPr>
      </w:pPr>
      <w:r w:rsidRPr="0023439C">
        <w:rPr>
          <w:color w:val="222222"/>
          <w:shd w:val="clear" w:color="auto" w:fill="FFFFFF"/>
        </w:rPr>
        <w:t xml:space="preserve">Xing, Y. F., Xu, Y. H., Shi, M. H., &amp; Lian, Y. X. (2016). The impact of PM2. 5 on the human </w:t>
      </w:r>
      <w:r>
        <w:rPr>
          <w:color w:val="222222"/>
          <w:shd w:val="clear" w:color="auto" w:fill="FFFFFF"/>
        </w:rPr>
        <w:tab/>
      </w:r>
      <w:r w:rsidRPr="0023439C">
        <w:rPr>
          <w:color w:val="222222"/>
          <w:shd w:val="clear" w:color="auto" w:fill="FFFFFF"/>
        </w:rPr>
        <w:t>respiratory system. </w:t>
      </w:r>
      <w:r w:rsidRPr="0023439C">
        <w:rPr>
          <w:i/>
          <w:iCs/>
          <w:color w:val="222222"/>
          <w:shd w:val="clear" w:color="auto" w:fill="FFFFFF"/>
        </w:rPr>
        <w:t>Journal of Thoracic Disease</w:t>
      </w:r>
      <w:r w:rsidRPr="0023439C">
        <w:rPr>
          <w:color w:val="222222"/>
          <w:shd w:val="clear" w:color="auto" w:fill="FFFFFF"/>
        </w:rPr>
        <w:t>, </w:t>
      </w:r>
      <w:r w:rsidRPr="0023439C">
        <w:rPr>
          <w:i/>
          <w:iCs/>
          <w:color w:val="222222"/>
          <w:shd w:val="clear" w:color="auto" w:fill="FFFFFF"/>
        </w:rPr>
        <w:t>8</w:t>
      </w:r>
      <w:r w:rsidRPr="0023439C">
        <w:rPr>
          <w:color w:val="222222"/>
          <w:shd w:val="clear" w:color="auto" w:fill="FFFFFF"/>
        </w:rPr>
        <w:t>(1), E69.</w:t>
      </w:r>
    </w:p>
    <w:p w14:paraId="620EE3A1" w14:textId="6CC74F7B" w:rsidR="00190DB9" w:rsidRPr="00190DB9" w:rsidRDefault="00190DB9" w:rsidP="002C6AEF">
      <w:pPr>
        <w:ind w:left="720" w:hanging="720"/>
        <w:rPr>
          <w:color w:val="222222"/>
          <w:shd w:val="clear" w:color="auto" w:fill="FFFFFF"/>
        </w:rPr>
      </w:pPr>
      <w:r>
        <w:rPr>
          <w:color w:val="222222"/>
          <w:shd w:val="clear" w:color="auto" w:fill="FFFFFF"/>
        </w:rPr>
        <w:t xml:space="preserve">Yu. W., </w:t>
      </w:r>
      <w:proofErr w:type="spellStart"/>
      <w:r>
        <w:rPr>
          <w:color w:val="222222"/>
          <w:shd w:val="clear" w:color="auto" w:fill="FFFFFF"/>
        </w:rPr>
        <w:t>Yy</w:t>
      </w:r>
      <w:proofErr w:type="spellEnd"/>
      <w:r>
        <w:rPr>
          <w:color w:val="222222"/>
          <w:shd w:val="clear" w:color="auto" w:fill="FFFFFF"/>
        </w:rPr>
        <w:t xml:space="preserve">, T., Zhang, Y., Xu. R., Lei. Y., Chen. Z… &amp; Guo. Y. (2023). Global estimates of daily ambient fine </w:t>
      </w:r>
      <w:proofErr w:type="gramStart"/>
      <w:r>
        <w:rPr>
          <w:color w:val="222222"/>
          <w:shd w:val="clear" w:color="auto" w:fill="FFFFFF"/>
        </w:rPr>
        <w:t>particular matter</w:t>
      </w:r>
      <w:proofErr w:type="gramEnd"/>
      <w:r>
        <w:rPr>
          <w:color w:val="222222"/>
          <w:shd w:val="clear" w:color="auto" w:fill="FFFFFF"/>
        </w:rPr>
        <w:t xml:space="preserve"> concentrations and unequal spatiotemporal distribution of population exposure: A machine learning modelling study. </w:t>
      </w:r>
      <w:r>
        <w:rPr>
          <w:i/>
          <w:iCs/>
          <w:color w:val="222222"/>
          <w:shd w:val="clear" w:color="auto" w:fill="FFFFFF"/>
        </w:rPr>
        <w:t>The Lancet Planetary Health, 7</w:t>
      </w:r>
      <w:r>
        <w:rPr>
          <w:color w:val="222222"/>
          <w:shd w:val="clear" w:color="auto" w:fill="FFFFFF"/>
        </w:rPr>
        <w:t xml:space="preserve">(3), E209-E218. </w:t>
      </w:r>
    </w:p>
    <w:p w14:paraId="5D7A202A" w14:textId="77777777" w:rsidR="00DB0EEA" w:rsidRPr="00DB0EEA" w:rsidRDefault="00DB0EEA" w:rsidP="00DB0EEA">
      <w:pPr>
        <w:ind w:left="720" w:hanging="720"/>
        <w:rPr>
          <w:color w:val="000000" w:themeColor="text1"/>
        </w:rPr>
      </w:pPr>
      <w:r w:rsidRPr="00DB0EEA">
        <w:rPr>
          <w:color w:val="000000" w:themeColor="text1"/>
          <w:shd w:val="clear" w:color="auto" w:fill="FFFFFF"/>
        </w:rPr>
        <w:t xml:space="preserve">Zhao, X., Wang, S., Yin, X., Yu, J., &amp; Ding, B. (2016). Slip-effect functional air filter for efficient purification of PM2. 5. </w:t>
      </w:r>
      <w:r w:rsidRPr="00DB0EEA">
        <w:rPr>
          <w:i/>
          <w:iCs/>
          <w:color w:val="000000" w:themeColor="text1"/>
          <w:shd w:val="clear" w:color="auto" w:fill="FFFFFF"/>
        </w:rPr>
        <w:t>Scientific reports</w:t>
      </w:r>
      <w:r w:rsidRPr="00DB0EEA">
        <w:rPr>
          <w:color w:val="000000" w:themeColor="text1"/>
          <w:shd w:val="clear" w:color="auto" w:fill="FFFFFF"/>
        </w:rPr>
        <w:t xml:space="preserve">, </w:t>
      </w:r>
      <w:r w:rsidRPr="00DB0EEA">
        <w:rPr>
          <w:i/>
          <w:iCs/>
          <w:color w:val="000000" w:themeColor="text1"/>
          <w:shd w:val="clear" w:color="auto" w:fill="FFFFFF"/>
        </w:rPr>
        <w:t>6</w:t>
      </w:r>
      <w:r w:rsidRPr="00DB0EEA">
        <w:rPr>
          <w:color w:val="000000" w:themeColor="text1"/>
          <w:shd w:val="clear" w:color="auto" w:fill="FFFFFF"/>
        </w:rPr>
        <w:t>(1), 1-11.</w:t>
      </w:r>
    </w:p>
    <w:p w14:paraId="1F9E8D99" w14:textId="78D92AEE" w:rsidR="00DB0EEA" w:rsidRPr="001C6CE0" w:rsidRDefault="00DB0EEA" w:rsidP="001C6CE0">
      <w:pPr>
        <w:sectPr w:rsidR="00DB0EEA" w:rsidRPr="001C6CE0">
          <w:pgSz w:w="12240" w:h="15840"/>
          <w:pgMar w:top="1440" w:right="1440" w:bottom="1440" w:left="1440" w:header="720" w:footer="720" w:gutter="0"/>
          <w:cols w:space="720"/>
          <w:docGrid w:linePitch="360"/>
        </w:sectPr>
      </w:pPr>
    </w:p>
    <w:p w14:paraId="1F7B5173" w14:textId="775DC814" w:rsidR="00F33DAB" w:rsidRPr="00314B9A" w:rsidRDefault="00E842DD" w:rsidP="000B3839">
      <w:pPr>
        <w:pStyle w:val="NormalWeb"/>
        <w:spacing w:after="60" w:afterAutospacing="0"/>
        <w:jc w:val="center"/>
      </w:pPr>
      <w:r w:rsidRPr="00314B9A">
        <w:lastRenderedPageBreak/>
        <w:t xml:space="preserve">Figure </w:t>
      </w:r>
      <w:r w:rsidR="001C6CE0">
        <w:t>1</w:t>
      </w:r>
      <w:r w:rsidRPr="00314B9A">
        <w:t xml:space="preserve">: </w:t>
      </w:r>
      <w:r w:rsidR="00C3596C" w:rsidRPr="00314B9A">
        <w:rPr>
          <w:color w:val="212529"/>
          <w:shd w:val="clear" w:color="auto" w:fill="FFFFFF"/>
        </w:rPr>
        <w:t>PM</w:t>
      </w:r>
      <w:r w:rsidR="00C3596C" w:rsidRPr="00314B9A">
        <w:rPr>
          <w:color w:val="212529"/>
          <w:shd w:val="clear" w:color="auto" w:fill="FFFFFF"/>
          <w:vertAlign w:val="subscript"/>
        </w:rPr>
        <w:t xml:space="preserve">2.5 </w:t>
      </w:r>
      <w:r w:rsidR="00C3596C" w:rsidRPr="00314B9A">
        <w:t>Values by County and Location of TDCJ Facilities</w:t>
      </w:r>
    </w:p>
    <w:p w14:paraId="308211D2" w14:textId="6E71CE16" w:rsidR="00E863D9" w:rsidRDefault="00C3596C" w:rsidP="003761D3">
      <w:pPr>
        <w:pStyle w:val="NormalWeb"/>
        <w:spacing w:after="60" w:afterAutospacing="0"/>
        <w:rPr>
          <w:b/>
          <w:bCs/>
        </w:rPr>
      </w:pPr>
      <w:r>
        <w:rPr>
          <w:b/>
          <w:bCs/>
          <w:noProof/>
        </w:rPr>
        <w:drawing>
          <wp:inline distT="0" distB="0" distL="0" distR="0" wp14:anchorId="6AE1D76B" wp14:editId="6FEDE429">
            <wp:extent cx="5215467" cy="4860907"/>
            <wp:effectExtent l="0" t="0" r="4445" b="3810"/>
            <wp:docPr id="62" name="Picture 6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Map&#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226284" cy="4870988"/>
                    </a:xfrm>
                    <a:prstGeom prst="rect">
                      <a:avLst/>
                    </a:prstGeom>
                  </pic:spPr>
                </pic:pic>
              </a:graphicData>
            </a:graphic>
          </wp:inline>
        </w:drawing>
      </w:r>
      <w:r>
        <w:rPr>
          <w:b/>
          <w:bCs/>
          <w:noProof/>
        </w:rPr>
        <w:drawing>
          <wp:inline distT="0" distB="0" distL="0" distR="0" wp14:anchorId="069B5B02" wp14:editId="10FEFF19">
            <wp:extent cx="1065051" cy="1302707"/>
            <wp:effectExtent l="0" t="0" r="1905" b="5715"/>
            <wp:docPr id="3" name="Picture 3" descr="Chart, bar 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 histo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079894" cy="1320862"/>
                    </a:xfrm>
                    <a:prstGeom prst="rect">
                      <a:avLst/>
                    </a:prstGeom>
                    <a:effectLst>
                      <a:outerShdw blurRad="50800" dist="50800" sx="1000" sy="1000" algn="ctr" rotWithShape="0">
                        <a:srgbClr val="000000">
                          <a:alpha val="43137"/>
                        </a:srgbClr>
                      </a:outerShdw>
                    </a:effectLst>
                  </pic:spPr>
                </pic:pic>
              </a:graphicData>
            </a:graphic>
          </wp:inline>
        </w:drawing>
      </w:r>
    </w:p>
    <w:p w14:paraId="3DDD6C99" w14:textId="77777777" w:rsidR="00154A80" w:rsidRDefault="00154A80" w:rsidP="003761D3">
      <w:pPr>
        <w:pStyle w:val="NormalWeb"/>
        <w:spacing w:after="60" w:afterAutospacing="0"/>
      </w:pPr>
    </w:p>
    <w:p w14:paraId="7E810684" w14:textId="57DFC034" w:rsidR="000E5B36" w:rsidRPr="00314B9A" w:rsidRDefault="00F958C0" w:rsidP="003761D3">
      <w:pPr>
        <w:pStyle w:val="NormalWeb"/>
        <w:spacing w:after="60" w:afterAutospacing="0"/>
      </w:pPr>
      <w:r w:rsidRPr="00314B9A">
        <w:lastRenderedPageBreak/>
        <w:t xml:space="preserve">Table 1: </w:t>
      </w:r>
      <w:r w:rsidR="00A26808" w:rsidRPr="00314B9A">
        <w:t xml:space="preserve">Descriptive statistics for all counties and counties with and without </w:t>
      </w:r>
      <w:r w:rsidR="008E2401" w:rsidRPr="00314B9A">
        <w:t>TDCJ</w:t>
      </w:r>
      <w:r w:rsidR="00A26808" w:rsidRPr="00314B9A">
        <w:t xml:space="preserve"> facilities</w:t>
      </w:r>
      <w:r w:rsidR="00B51B58" w:rsidRPr="00314B9A">
        <w:t>.</w:t>
      </w:r>
      <w:r w:rsidR="00A26808" w:rsidRPr="00314B9A">
        <w:t xml:space="preserve"> </w:t>
      </w:r>
    </w:p>
    <w:tbl>
      <w:tblPr>
        <w:tblStyle w:val="TableGrid"/>
        <w:tblW w:w="12683" w:type="dxa"/>
        <w:tblLook w:val="04A0" w:firstRow="1" w:lastRow="0" w:firstColumn="1" w:lastColumn="0" w:noHBand="0" w:noVBand="1"/>
      </w:tblPr>
      <w:tblGrid>
        <w:gridCol w:w="2113"/>
        <w:gridCol w:w="2114"/>
        <w:gridCol w:w="2114"/>
        <w:gridCol w:w="2114"/>
        <w:gridCol w:w="2114"/>
        <w:gridCol w:w="2114"/>
      </w:tblGrid>
      <w:tr w:rsidR="00A2382F" w14:paraId="6513CED6" w14:textId="77777777" w:rsidTr="006F1D3A">
        <w:trPr>
          <w:trHeight w:val="962"/>
        </w:trPr>
        <w:tc>
          <w:tcPr>
            <w:tcW w:w="2113" w:type="dxa"/>
            <w:tcBorders>
              <w:bottom w:val="single" w:sz="4" w:space="0" w:color="auto"/>
              <w:right w:val="nil"/>
            </w:tcBorders>
          </w:tcPr>
          <w:p w14:paraId="7D4C7F4C" w14:textId="77777777" w:rsidR="00A2382F" w:rsidRDefault="00A2382F" w:rsidP="00A2382F">
            <w:pPr>
              <w:pStyle w:val="NormalWeb"/>
              <w:rPr>
                <w:b/>
                <w:bCs/>
              </w:rPr>
            </w:pPr>
          </w:p>
        </w:tc>
        <w:tc>
          <w:tcPr>
            <w:tcW w:w="2114" w:type="dxa"/>
            <w:tcBorders>
              <w:bottom w:val="single" w:sz="4" w:space="0" w:color="auto"/>
            </w:tcBorders>
          </w:tcPr>
          <w:p w14:paraId="4E6C5491" w14:textId="77777777" w:rsidR="00A2382F" w:rsidRDefault="00A2382F" w:rsidP="00A2382F">
            <w:pPr>
              <w:pStyle w:val="NormalWeb"/>
              <w:spacing w:before="0" w:beforeAutospacing="0" w:after="0" w:afterAutospacing="0"/>
              <w:jc w:val="center"/>
            </w:pPr>
            <w:r w:rsidRPr="00F958C0">
              <w:t>All counties</w:t>
            </w:r>
          </w:p>
          <w:p w14:paraId="478593A2" w14:textId="332931E8" w:rsidR="00A2382F" w:rsidRPr="00A2382F" w:rsidRDefault="00A2382F" w:rsidP="00A2382F">
            <w:pPr>
              <w:pStyle w:val="NormalWeb"/>
              <w:spacing w:before="0" w:beforeAutospacing="0" w:after="0" w:afterAutospacing="0"/>
              <w:jc w:val="center"/>
            </w:pPr>
            <w:r w:rsidRPr="00F958C0">
              <w:t>(n = 254)</w:t>
            </w:r>
          </w:p>
        </w:tc>
        <w:tc>
          <w:tcPr>
            <w:tcW w:w="2114" w:type="dxa"/>
            <w:tcBorders>
              <w:bottom w:val="single" w:sz="4" w:space="0" w:color="auto"/>
            </w:tcBorders>
          </w:tcPr>
          <w:p w14:paraId="6FCE3E2C" w14:textId="77777777" w:rsidR="00A2382F" w:rsidRDefault="00A2382F" w:rsidP="00A2382F">
            <w:pPr>
              <w:pStyle w:val="NormalWeb"/>
              <w:spacing w:before="0" w:beforeAutospacing="0" w:after="0" w:afterAutospacing="0"/>
              <w:jc w:val="center"/>
            </w:pPr>
            <w:r w:rsidRPr="00F958C0">
              <w:t>Counties without</w:t>
            </w:r>
            <w:r>
              <w:t xml:space="preserve"> TDCJ</w:t>
            </w:r>
            <w:r w:rsidRPr="00F958C0">
              <w:t xml:space="preserve"> facilities</w:t>
            </w:r>
          </w:p>
          <w:p w14:paraId="48F7E365" w14:textId="52610A20" w:rsidR="00A2382F" w:rsidRPr="00A2382F" w:rsidRDefault="00A2382F" w:rsidP="00A2382F">
            <w:pPr>
              <w:pStyle w:val="NormalWeb"/>
              <w:spacing w:before="0" w:beforeAutospacing="0" w:after="0" w:afterAutospacing="0"/>
              <w:jc w:val="center"/>
            </w:pPr>
            <w:r w:rsidRPr="00F958C0">
              <w:t>(n = 196)</w:t>
            </w:r>
          </w:p>
        </w:tc>
        <w:tc>
          <w:tcPr>
            <w:tcW w:w="2114" w:type="dxa"/>
            <w:tcBorders>
              <w:bottom w:val="single" w:sz="4" w:space="0" w:color="auto"/>
            </w:tcBorders>
          </w:tcPr>
          <w:p w14:paraId="0F2D7F87" w14:textId="77777777" w:rsidR="00A2382F" w:rsidRDefault="00A2382F" w:rsidP="00A2382F">
            <w:pPr>
              <w:pStyle w:val="NormalWeb"/>
              <w:spacing w:before="0" w:beforeAutospacing="0" w:after="0" w:afterAutospacing="0"/>
              <w:jc w:val="center"/>
            </w:pPr>
            <w:r w:rsidRPr="00F958C0">
              <w:t xml:space="preserve">Counties with </w:t>
            </w:r>
            <w:r>
              <w:t xml:space="preserve">TDCJ </w:t>
            </w:r>
            <w:r w:rsidRPr="00F958C0">
              <w:t>facilities</w:t>
            </w:r>
          </w:p>
          <w:p w14:paraId="0320EA55" w14:textId="243B3A04" w:rsidR="00A2382F" w:rsidRPr="00A2382F" w:rsidRDefault="00A2382F" w:rsidP="00A2382F">
            <w:pPr>
              <w:pStyle w:val="NormalWeb"/>
              <w:spacing w:before="0" w:beforeAutospacing="0" w:after="0" w:afterAutospacing="0"/>
              <w:jc w:val="center"/>
            </w:pPr>
            <w:r w:rsidRPr="00F958C0">
              <w:t>(n = 58)</w:t>
            </w:r>
          </w:p>
        </w:tc>
        <w:tc>
          <w:tcPr>
            <w:tcW w:w="2114" w:type="dxa"/>
            <w:tcBorders>
              <w:bottom w:val="single" w:sz="4" w:space="0" w:color="auto"/>
              <w:right w:val="single" w:sz="4" w:space="0" w:color="auto"/>
            </w:tcBorders>
          </w:tcPr>
          <w:p w14:paraId="237562E3" w14:textId="6C6C75CC" w:rsidR="00A2382F" w:rsidRPr="00A2382F" w:rsidRDefault="00A2382F" w:rsidP="00A2382F">
            <w:pPr>
              <w:pStyle w:val="NormalWeb"/>
              <w:jc w:val="center"/>
            </w:pPr>
            <w:r w:rsidRPr="00A2382F">
              <w:t>Counties with a TDCJ prison</w:t>
            </w:r>
            <w:r>
              <w:t xml:space="preserve"> (n = </w:t>
            </w:r>
            <w:r w:rsidR="00CB3237">
              <w:t>40</w:t>
            </w:r>
            <w:r>
              <w:t>)</w:t>
            </w:r>
          </w:p>
        </w:tc>
        <w:tc>
          <w:tcPr>
            <w:tcW w:w="2114" w:type="dxa"/>
            <w:tcBorders>
              <w:left w:val="single" w:sz="4" w:space="0" w:color="auto"/>
            </w:tcBorders>
          </w:tcPr>
          <w:p w14:paraId="2A51860E" w14:textId="2A884B2A" w:rsidR="00A2382F" w:rsidRPr="00F958C0" w:rsidRDefault="00A2382F" w:rsidP="00A2382F">
            <w:pPr>
              <w:pStyle w:val="NormalWeb"/>
              <w:spacing w:before="0" w:beforeAutospacing="0" w:after="0" w:afterAutospacing="0"/>
              <w:jc w:val="center"/>
            </w:pPr>
            <w:r w:rsidRPr="00F958C0">
              <w:t xml:space="preserve">Counties </w:t>
            </w:r>
            <w:r>
              <w:t>with a non-prison TDCJ</w:t>
            </w:r>
            <w:r w:rsidRPr="00F958C0">
              <w:t xml:space="preserve"> facili</w:t>
            </w:r>
            <w:r>
              <w:t>ty</w:t>
            </w:r>
          </w:p>
          <w:p w14:paraId="7B46C581" w14:textId="6015E7AE" w:rsidR="00A2382F" w:rsidRPr="00F958C0" w:rsidRDefault="00A2382F" w:rsidP="00A2382F">
            <w:pPr>
              <w:pStyle w:val="NormalWeb"/>
              <w:spacing w:before="0" w:beforeAutospacing="0" w:after="0" w:afterAutospacing="0"/>
              <w:jc w:val="center"/>
            </w:pPr>
            <w:r w:rsidRPr="00F958C0">
              <w:t xml:space="preserve">(n = </w:t>
            </w:r>
            <w:r w:rsidR="00CB3237">
              <w:t>26</w:t>
            </w:r>
            <w:r w:rsidRPr="00F958C0">
              <w:t>)</w:t>
            </w:r>
          </w:p>
        </w:tc>
      </w:tr>
      <w:tr w:rsidR="00A2382F" w14:paraId="1916411E" w14:textId="77777777" w:rsidTr="006F1D3A">
        <w:trPr>
          <w:trHeight w:val="286"/>
        </w:trPr>
        <w:tc>
          <w:tcPr>
            <w:tcW w:w="2113" w:type="dxa"/>
            <w:tcBorders>
              <w:top w:val="single" w:sz="4" w:space="0" w:color="auto"/>
              <w:bottom w:val="single" w:sz="4" w:space="0" w:color="auto"/>
              <w:right w:val="nil"/>
            </w:tcBorders>
          </w:tcPr>
          <w:p w14:paraId="2CD1D3CB" w14:textId="77777777" w:rsidR="00A2382F" w:rsidRPr="00A26235" w:rsidRDefault="00A2382F" w:rsidP="00A2382F">
            <w:pPr>
              <w:pStyle w:val="NormalWeb"/>
              <w:rPr>
                <w:vertAlign w:val="subscript"/>
              </w:rPr>
            </w:pPr>
          </w:p>
        </w:tc>
        <w:tc>
          <w:tcPr>
            <w:tcW w:w="2114" w:type="dxa"/>
            <w:tcBorders>
              <w:top w:val="single" w:sz="4" w:space="0" w:color="auto"/>
              <w:bottom w:val="single" w:sz="4" w:space="0" w:color="auto"/>
            </w:tcBorders>
          </w:tcPr>
          <w:p w14:paraId="6EF62A03" w14:textId="18440C76" w:rsidR="00A2382F" w:rsidRPr="00A26235" w:rsidRDefault="00A2382F" w:rsidP="00C0684F">
            <w:pPr>
              <w:pStyle w:val="NormalWeb"/>
              <w:jc w:val="center"/>
              <w:rPr>
                <w:vertAlign w:val="subscript"/>
              </w:rPr>
            </w:pPr>
            <w:r>
              <w:t>Mean (SD)</w:t>
            </w:r>
          </w:p>
        </w:tc>
        <w:tc>
          <w:tcPr>
            <w:tcW w:w="2114" w:type="dxa"/>
            <w:tcBorders>
              <w:top w:val="single" w:sz="4" w:space="0" w:color="auto"/>
              <w:bottom w:val="single" w:sz="4" w:space="0" w:color="auto"/>
            </w:tcBorders>
          </w:tcPr>
          <w:p w14:paraId="48C6193B" w14:textId="5B985578" w:rsidR="00A2382F" w:rsidRPr="00A26235" w:rsidRDefault="00A2382F" w:rsidP="00C0684F">
            <w:pPr>
              <w:pStyle w:val="NormalWeb"/>
              <w:jc w:val="center"/>
              <w:rPr>
                <w:vertAlign w:val="subscript"/>
              </w:rPr>
            </w:pPr>
            <w:r>
              <w:t>Mean (SD)</w:t>
            </w:r>
          </w:p>
        </w:tc>
        <w:tc>
          <w:tcPr>
            <w:tcW w:w="2114" w:type="dxa"/>
            <w:tcBorders>
              <w:top w:val="single" w:sz="4" w:space="0" w:color="auto"/>
              <w:bottom w:val="single" w:sz="4" w:space="0" w:color="auto"/>
            </w:tcBorders>
          </w:tcPr>
          <w:p w14:paraId="0F97F57F" w14:textId="6C304F00" w:rsidR="00A2382F" w:rsidRPr="00A26235" w:rsidRDefault="00A2382F" w:rsidP="00C0684F">
            <w:pPr>
              <w:pStyle w:val="NormalWeb"/>
              <w:jc w:val="center"/>
              <w:rPr>
                <w:vertAlign w:val="subscript"/>
              </w:rPr>
            </w:pPr>
            <w:r>
              <w:t>Mean (SD)</w:t>
            </w:r>
          </w:p>
        </w:tc>
        <w:tc>
          <w:tcPr>
            <w:tcW w:w="2114" w:type="dxa"/>
            <w:tcBorders>
              <w:top w:val="single" w:sz="4" w:space="0" w:color="auto"/>
              <w:bottom w:val="single" w:sz="4" w:space="0" w:color="auto"/>
              <w:right w:val="single" w:sz="4" w:space="0" w:color="auto"/>
            </w:tcBorders>
          </w:tcPr>
          <w:p w14:paraId="43F2D403" w14:textId="3737ED55" w:rsidR="00A2382F" w:rsidRPr="00A2382F" w:rsidRDefault="00A2382F" w:rsidP="00C0684F">
            <w:pPr>
              <w:pStyle w:val="NormalWeb"/>
              <w:jc w:val="center"/>
            </w:pPr>
            <w:r w:rsidRPr="00A2382F">
              <w:t>Mean (SD)</w:t>
            </w:r>
          </w:p>
        </w:tc>
        <w:tc>
          <w:tcPr>
            <w:tcW w:w="2114" w:type="dxa"/>
            <w:tcBorders>
              <w:left w:val="single" w:sz="4" w:space="0" w:color="auto"/>
              <w:bottom w:val="single" w:sz="4" w:space="0" w:color="auto"/>
            </w:tcBorders>
          </w:tcPr>
          <w:p w14:paraId="064B7D65" w14:textId="2DE5C95A" w:rsidR="00A2382F" w:rsidRDefault="00A2382F" w:rsidP="00C0684F">
            <w:pPr>
              <w:pStyle w:val="NormalWeb"/>
              <w:spacing w:before="0" w:beforeAutospacing="0" w:after="0" w:afterAutospacing="0"/>
              <w:jc w:val="center"/>
              <w:rPr>
                <w:b/>
                <w:bCs/>
              </w:rPr>
            </w:pPr>
            <w:r>
              <w:t>Mean (SD)</w:t>
            </w:r>
          </w:p>
        </w:tc>
      </w:tr>
      <w:tr w:rsidR="00A2382F" w14:paraId="21F4CF62" w14:textId="77777777" w:rsidTr="006F1D3A">
        <w:trPr>
          <w:trHeight w:val="286"/>
        </w:trPr>
        <w:tc>
          <w:tcPr>
            <w:tcW w:w="2113" w:type="dxa"/>
            <w:tcBorders>
              <w:top w:val="single" w:sz="4" w:space="0" w:color="auto"/>
              <w:bottom w:val="nil"/>
              <w:right w:val="nil"/>
            </w:tcBorders>
          </w:tcPr>
          <w:p w14:paraId="68CDB422" w14:textId="7CB73A68" w:rsidR="00A2382F" w:rsidRPr="00A26235" w:rsidRDefault="00A2382F" w:rsidP="00A2382F">
            <w:pPr>
              <w:pStyle w:val="NormalWeb"/>
            </w:pPr>
            <w:r w:rsidRPr="00A26235">
              <w:t>PM</w:t>
            </w:r>
            <w:r w:rsidRPr="00A26235">
              <w:rPr>
                <w:vertAlign w:val="subscript"/>
              </w:rPr>
              <w:t>2.5</w:t>
            </w:r>
            <w:r>
              <w:t xml:space="preserve"> (µg/m</w:t>
            </w:r>
            <w:r w:rsidRPr="006A2397">
              <w:rPr>
                <w:vertAlign w:val="superscript"/>
              </w:rPr>
              <w:t>3</w:t>
            </w:r>
            <w:r>
              <w:t>)</w:t>
            </w:r>
          </w:p>
        </w:tc>
        <w:tc>
          <w:tcPr>
            <w:tcW w:w="2114" w:type="dxa"/>
            <w:tcBorders>
              <w:top w:val="single" w:sz="4" w:space="0" w:color="auto"/>
              <w:bottom w:val="nil"/>
            </w:tcBorders>
          </w:tcPr>
          <w:p w14:paraId="1C0EA158" w14:textId="059ECF5B" w:rsidR="00A2382F" w:rsidRPr="00A26235" w:rsidRDefault="00A2382F" w:rsidP="00C0684F">
            <w:pPr>
              <w:pStyle w:val="NormalWeb"/>
              <w:jc w:val="center"/>
            </w:pPr>
            <w:r w:rsidRPr="0032193C">
              <w:t>8.</w:t>
            </w:r>
            <w:r>
              <w:t>63</w:t>
            </w:r>
            <w:r w:rsidRPr="0032193C">
              <w:t xml:space="preserve"> (1.3</w:t>
            </w:r>
            <w:r>
              <w:t>3</w:t>
            </w:r>
            <w:r w:rsidRPr="0032193C">
              <w:t>)</w:t>
            </w:r>
          </w:p>
        </w:tc>
        <w:tc>
          <w:tcPr>
            <w:tcW w:w="2114" w:type="dxa"/>
            <w:tcBorders>
              <w:top w:val="single" w:sz="4" w:space="0" w:color="auto"/>
              <w:bottom w:val="nil"/>
            </w:tcBorders>
          </w:tcPr>
          <w:p w14:paraId="338850C3" w14:textId="7E13CCE8" w:rsidR="00A2382F" w:rsidRPr="00A26235" w:rsidRDefault="00A2382F" w:rsidP="00C0684F">
            <w:pPr>
              <w:pStyle w:val="NormalWeb"/>
              <w:jc w:val="center"/>
            </w:pPr>
            <w:r w:rsidRPr="0032193C">
              <w:t>8.</w:t>
            </w:r>
            <w:r>
              <w:t>49</w:t>
            </w:r>
            <w:r w:rsidRPr="0032193C">
              <w:t xml:space="preserve"> (1.3</w:t>
            </w:r>
            <w:r>
              <w:t>2</w:t>
            </w:r>
            <w:r w:rsidRPr="0032193C">
              <w:t>)</w:t>
            </w:r>
          </w:p>
        </w:tc>
        <w:tc>
          <w:tcPr>
            <w:tcW w:w="2114" w:type="dxa"/>
            <w:tcBorders>
              <w:top w:val="single" w:sz="4" w:space="0" w:color="auto"/>
              <w:bottom w:val="nil"/>
            </w:tcBorders>
          </w:tcPr>
          <w:p w14:paraId="6774E3FC" w14:textId="1453B05C" w:rsidR="00A2382F" w:rsidRPr="00AB083F" w:rsidRDefault="00A2382F" w:rsidP="00C0684F">
            <w:pPr>
              <w:pStyle w:val="NormalWeb"/>
              <w:jc w:val="center"/>
            </w:pPr>
            <w:r w:rsidRPr="0032193C">
              <w:t>9.1</w:t>
            </w:r>
            <w:r>
              <w:t>1</w:t>
            </w:r>
            <w:r w:rsidRPr="0032193C">
              <w:t xml:space="preserve"> (1.</w:t>
            </w:r>
            <w:r>
              <w:t>27</w:t>
            </w:r>
            <w:r w:rsidRPr="0032193C">
              <w:t>)</w:t>
            </w:r>
          </w:p>
        </w:tc>
        <w:tc>
          <w:tcPr>
            <w:tcW w:w="2114" w:type="dxa"/>
            <w:tcBorders>
              <w:top w:val="single" w:sz="4" w:space="0" w:color="auto"/>
              <w:bottom w:val="nil"/>
              <w:right w:val="single" w:sz="4" w:space="0" w:color="auto"/>
            </w:tcBorders>
          </w:tcPr>
          <w:p w14:paraId="05CCE2EF" w14:textId="0C6CB2B1" w:rsidR="00A2382F" w:rsidRPr="00AB083F" w:rsidRDefault="008D66B6" w:rsidP="00C0684F">
            <w:pPr>
              <w:pStyle w:val="NormalWeb"/>
              <w:jc w:val="center"/>
            </w:pPr>
            <w:r>
              <w:t xml:space="preserve">9.04 </w:t>
            </w:r>
            <w:r w:rsidR="009B2288">
              <w:t>(1.</w:t>
            </w:r>
            <w:r>
              <w:t>25</w:t>
            </w:r>
            <w:r w:rsidR="009B2288">
              <w:t>)</w:t>
            </w:r>
          </w:p>
        </w:tc>
        <w:tc>
          <w:tcPr>
            <w:tcW w:w="2114" w:type="dxa"/>
            <w:tcBorders>
              <w:left w:val="single" w:sz="4" w:space="0" w:color="auto"/>
              <w:bottom w:val="nil"/>
            </w:tcBorders>
          </w:tcPr>
          <w:p w14:paraId="3E1E0D66" w14:textId="6D4A82E9" w:rsidR="00A2382F" w:rsidRPr="0032193C" w:rsidRDefault="00FF62D1" w:rsidP="00C0684F">
            <w:pPr>
              <w:pStyle w:val="NormalWeb"/>
              <w:jc w:val="center"/>
            </w:pPr>
            <w:r>
              <w:t>9.</w:t>
            </w:r>
            <w:r w:rsidR="008D66B6">
              <w:t>37</w:t>
            </w:r>
            <w:r>
              <w:t xml:space="preserve"> (1.</w:t>
            </w:r>
            <w:r w:rsidR="008D66B6">
              <w:t>30</w:t>
            </w:r>
            <w:r>
              <w:t>)</w:t>
            </w:r>
          </w:p>
        </w:tc>
      </w:tr>
      <w:tr w:rsidR="00685C94" w14:paraId="5722B4BC" w14:textId="77777777" w:rsidTr="006F1D3A">
        <w:trPr>
          <w:trHeight w:val="272"/>
        </w:trPr>
        <w:tc>
          <w:tcPr>
            <w:tcW w:w="2113" w:type="dxa"/>
            <w:tcBorders>
              <w:top w:val="nil"/>
              <w:bottom w:val="nil"/>
              <w:right w:val="nil"/>
            </w:tcBorders>
          </w:tcPr>
          <w:p w14:paraId="2BD46CC9" w14:textId="7EE8EC14" w:rsidR="00685C94" w:rsidRPr="00A26235" w:rsidRDefault="00685C94" w:rsidP="00A2382F">
            <w:pPr>
              <w:pStyle w:val="NormalWeb"/>
            </w:pPr>
            <w:r>
              <w:t>Land area (square miles)</w:t>
            </w:r>
          </w:p>
        </w:tc>
        <w:tc>
          <w:tcPr>
            <w:tcW w:w="2114" w:type="dxa"/>
            <w:tcBorders>
              <w:top w:val="nil"/>
              <w:bottom w:val="nil"/>
            </w:tcBorders>
          </w:tcPr>
          <w:p w14:paraId="0F5E3337" w14:textId="68B5209A" w:rsidR="00685C94" w:rsidRDefault="00685C94" w:rsidP="00C0684F">
            <w:pPr>
              <w:pStyle w:val="NormalWeb"/>
              <w:jc w:val="center"/>
            </w:pPr>
            <w:r>
              <w:t>1</w:t>
            </w:r>
            <w:r w:rsidR="000400F1">
              <w:t>,</w:t>
            </w:r>
            <w:r>
              <w:t>057 (656)</w:t>
            </w:r>
          </w:p>
        </w:tc>
        <w:tc>
          <w:tcPr>
            <w:tcW w:w="2114" w:type="dxa"/>
            <w:tcBorders>
              <w:top w:val="nil"/>
              <w:bottom w:val="nil"/>
            </w:tcBorders>
          </w:tcPr>
          <w:p w14:paraId="2BDF7071" w14:textId="07B09FB2" w:rsidR="00685C94" w:rsidRDefault="000F1020" w:rsidP="00C0684F">
            <w:pPr>
              <w:pStyle w:val="NormalWeb"/>
              <w:jc w:val="center"/>
            </w:pPr>
            <w:r>
              <w:t>1</w:t>
            </w:r>
            <w:r w:rsidR="000400F1">
              <w:t>,</w:t>
            </w:r>
            <w:r>
              <w:t>062 (686)</w:t>
            </w:r>
          </w:p>
        </w:tc>
        <w:tc>
          <w:tcPr>
            <w:tcW w:w="2114" w:type="dxa"/>
            <w:tcBorders>
              <w:top w:val="nil"/>
              <w:bottom w:val="nil"/>
            </w:tcBorders>
          </w:tcPr>
          <w:p w14:paraId="35E96004" w14:textId="1DEB2AC9" w:rsidR="00685C94" w:rsidRDefault="000F1020" w:rsidP="00C0684F">
            <w:pPr>
              <w:pStyle w:val="NormalWeb"/>
              <w:jc w:val="center"/>
            </w:pPr>
            <w:r>
              <w:t>1</w:t>
            </w:r>
            <w:r w:rsidR="000400F1">
              <w:t>,</w:t>
            </w:r>
            <w:r>
              <w:t>040 (550)</w:t>
            </w:r>
          </w:p>
        </w:tc>
        <w:tc>
          <w:tcPr>
            <w:tcW w:w="2114" w:type="dxa"/>
            <w:tcBorders>
              <w:top w:val="nil"/>
              <w:bottom w:val="nil"/>
              <w:right w:val="single" w:sz="4" w:space="0" w:color="auto"/>
            </w:tcBorders>
          </w:tcPr>
          <w:p w14:paraId="55153F6F" w14:textId="61D5208F" w:rsidR="00685C94" w:rsidRDefault="000F1020" w:rsidP="00C0684F">
            <w:pPr>
              <w:pStyle w:val="NormalWeb"/>
              <w:jc w:val="center"/>
            </w:pPr>
            <w:r>
              <w:t>1</w:t>
            </w:r>
            <w:r w:rsidR="000400F1">
              <w:t>,</w:t>
            </w:r>
            <w:r>
              <w:t>053 (638)</w:t>
            </w:r>
          </w:p>
        </w:tc>
        <w:tc>
          <w:tcPr>
            <w:tcW w:w="2114" w:type="dxa"/>
            <w:tcBorders>
              <w:top w:val="nil"/>
              <w:left w:val="single" w:sz="4" w:space="0" w:color="auto"/>
              <w:bottom w:val="nil"/>
            </w:tcBorders>
          </w:tcPr>
          <w:p w14:paraId="2B2F7831" w14:textId="484EE8FD" w:rsidR="00685C94" w:rsidRDefault="000F1020" w:rsidP="00C0684F">
            <w:pPr>
              <w:pStyle w:val="NormalWeb"/>
              <w:jc w:val="center"/>
            </w:pPr>
            <w:r>
              <w:t>1</w:t>
            </w:r>
            <w:r w:rsidR="000400F1">
              <w:t>,</w:t>
            </w:r>
            <w:r>
              <w:t>002 (242)</w:t>
            </w:r>
          </w:p>
        </w:tc>
      </w:tr>
      <w:tr w:rsidR="00685C94" w14:paraId="71E89149" w14:textId="77777777" w:rsidTr="006F1D3A">
        <w:trPr>
          <w:trHeight w:val="272"/>
        </w:trPr>
        <w:tc>
          <w:tcPr>
            <w:tcW w:w="2113" w:type="dxa"/>
            <w:tcBorders>
              <w:top w:val="nil"/>
              <w:bottom w:val="nil"/>
              <w:right w:val="nil"/>
            </w:tcBorders>
          </w:tcPr>
          <w:p w14:paraId="25070209" w14:textId="34FB0D6C" w:rsidR="00685C94" w:rsidRPr="00A26235" w:rsidRDefault="00685C94" w:rsidP="00A2382F">
            <w:pPr>
              <w:pStyle w:val="NormalWeb"/>
            </w:pPr>
            <w:r>
              <w:t>Percent industry employees</w:t>
            </w:r>
          </w:p>
        </w:tc>
        <w:tc>
          <w:tcPr>
            <w:tcW w:w="2114" w:type="dxa"/>
            <w:tcBorders>
              <w:top w:val="nil"/>
              <w:bottom w:val="nil"/>
            </w:tcBorders>
          </w:tcPr>
          <w:p w14:paraId="18E5DB34" w14:textId="5A3EFD3D" w:rsidR="00685C94" w:rsidRDefault="00685C94" w:rsidP="00C0684F">
            <w:pPr>
              <w:pStyle w:val="NormalWeb"/>
              <w:jc w:val="center"/>
            </w:pPr>
            <w:r>
              <w:t>28.24 (8.17)</w:t>
            </w:r>
          </w:p>
        </w:tc>
        <w:tc>
          <w:tcPr>
            <w:tcW w:w="2114" w:type="dxa"/>
            <w:tcBorders>
              <w:top w:val="nil"/>
              <w:bottom w:val="nil"/>
            </w:tcBorders>
          </w:tcPr>
          <w:p w14:paraId="45171BC1" w14:textId="58298EA1" w:rsidR="00685C94" w:rsidRDefault="000F1020" w:rsidP="00C0684F">
            <w:pPr>
              <w:pStyle w:val="NormalWeb"/>
              <w:jc w:val="center"/>
            </w:pPr>
            <w:r>
              <w:t>29.29 (8.41)</w:t>
            </w:r>
          </w:p>
        </w:tc>
        <w:tc>
          <w:tcPr>
            <w:tcW w:w="2114" w:type="dxa"/>
            <w:tcBorders>
              <w:top w:val="nil"/>
              <w:bottom w:val="nil"/>
            </w:tcBorders>
          </w:tcPr>
          <w:p w14:paraId="229087FE" w14:textId="54E0B416" w:rsidR="00685C94" w:rsidRDefault="000F1020" w:rsidP="00C0684F">
            <w:pPr>
              <w:pStyle w:val="NormalWeb"/>
              <w:jc w:val="center"/>
            </w:pPr>
            <w:r>
              <w:t>25.03 (6.40)</w:t>
            </w:r>
          </w:p>
        </w:tc>
        <w:tc>
          <w:tcPr>
            <w:tcW w:w="2114" w:type="dxa"/>
            <w:tcBorders>
              <w:top w:val="nil"/>
              <w:bottom w:val="nil"/>
              <w:right w:val="single" w:sz="4" w:space="0" w:color="auto"/>
            </w:tcBorders>
          </w:tcPr>
          <w:p w14:paraId="1DBDDCB0" w14:textId="48DA5571" w:rsidR="00685C94" w:rsidRDefault="000F1020" w:rsidP="00C0684F">
            <w:pPr>
              <w:pStyle w:val="NormalWeb"/>
              <w:jc w:val="center"/>
            </w:pPr>
            <w:r>
              <w:t>26.13 (6.31)</w:t>
            </w:r>
          </w:p>
        </w:tc>
        <w:tc>
          <w:tcPr>
            <w:tcW w:w="2114" w:type="dxa"/>
            <w:tcBorders>
              <w:top w:val="nil"/>
              <w:left w:val="single" w:sz="4" w:space="0" w:color="auto"/>
              <w:bottom w:val="nil"/>
            </w:tcBorders>
          </w:tcPr>
          <w:p w14:paraId="17C8155F" w14:textId="6B11B002" w:rsidR="00685C94" w:rsidRDefault="000F1020" w:rsidP="00C0684F">
            <w:pPr>
              <w:pStyle w:val="NormalWeb"/>
              <w:jc w:val="center"/>
            </w:pPr>
            <w:r>
              <w:t>23.64 (6.33)</w:t>
            </w:r>
          </w:p>
        </w:tc>
      </w:tr>
      <w:tr w:rsidR="00A2382F" w14:paraId="7E780EA1" w14:textId="77777777" w:rsidTr="006F1D3A">
        <w:trPr>
          <w:trHeight w:val="272"/>
        </w:trPr>
        <w:tc>
          <w:tcPr>
            <w:tcW w:w="2113" w:type="dxa"/>
            <w:tcBorders>
              <w:top w:val="nil"/>
              <w:bottom w:val="nil"/>
              <w:right w:val="nil"/>
            </w:tcBorders>
          </w:tcPr>
          <w:p w14:paraId="10DC8598" w14:textId="1C48A729" w:rsidR="00A2382F" w:rsidRPr="00A26235" w:rsidRDefault="00A2382F" w:rsidP="00A2382F">
            <w:pPr>
              <w:pStyle w:val="NormalWeb"/>
            </w:pPr>
            <w:r w:rsidRPr="00A26235">
              <w:t>Median household income</w:t>
            </w:r>
            <w:r>
              <w:t xml:space="preserve"> (thousands of dollars)</w:t>
            </w:r>
          </w:p>
        </w:tc>
        <w:tc>
          <w:tcPr>
            <w:tcW w:w="2114" w:type="dxa"/>
            <w:tcBorders>
              <w:top w:val="nil"/>
              <w:bottom w:val="nil"/>
            </w:tcBorders>
          </w:tcPr>
          <w:p w14:paraId="402EB477" w14:textId="527C6790" w:rsidR="00A2382F" w:rsidRPr="00A26235" w:rsidRDefault="00A2382F" w:rsidP="00C0684F">
            <w:pPr>
              <w:pStyle w:val="NormalWeb"/>
              <w:jc w:val="center"/>
            </w:pPr>
            <w:r>
              <w:t>52</w:t>
            </w:r>
            <w:r w:rsidR="00CA03F0">
              <w:t>,</w:t>
            </w:r>
            <w:r>
              <w:t>85</w:t>
            </w:r>
            <w:r w:rsidR="00CA03F0">
              <w:t>0</w:t>
            </w:r>
            <w:r w:rsidRPr="00865CF4">
              <w:t xml:space="preserve"> (12</w:t>
            </w:r>
            <w:r w:rsidR="00CA03F0">
              <w:t>,</w:t>
            </w:r>
            <w:r>
              <w:t>7</w:t>
            </w:r>
            <w:r w:rsidRPr="00865CF4">
              <w:t>8</w:t>
            </w:r>
            <w:r w:rsidR="00CA03F0">
              <w:t>0</w:t>
            </w:r>
            <w:r w:rsidRPr="00865CF4">
              <w:t>)</w:t>
            </w:r>
          </w:p>
        </w:tc>
        <w:tc>
          <w:tcPr>
            <w:tcW w:w="2114" w:type="dxa"/>
            <w:tcBorders>
              <w:top w:val="nil"/>
              <w:bottom w:val="nil"/>
            </w:tcBorders>
          </w:tcPr>
          <w:p w14:paraId="7D49EBE2" w14:textId="38B760FB" w:rsidR="00A2382F" w:rsidRPr="00A26235" w:rsidRDefault="00A2382F" w:rsidP="00C0684F">
            <w:pPr>
              <w:pStyle w:val="NormalWeb"/>
              <w:jc w:val="center"/>
            </w:pPr>
            <w:r>
              <w:t>52</w:t>
            </w:r>
            <w:r w:rsidR="00CA03F0">
              <w:t>,</w:t>
            </w:r>
            <w:r w:rsidR="00B41E93">
              <w:t>79</w:t>
            </w:r>
            <w:r w:rsidR="00CA03F0">
              <w:t>0</w:t>
            </w:r>
            <w:r w:rsidRPr="00865CF4">
              <w:t xml:space="preserve"> (13</w:t>
            </w:r>
            <w:r w:rsidR="00CA03F0">
              <w:t>,</w:t>
            </w:r>
            <w:r w:rsidRPr="00865CF4">
              <w:t>2</w:t>
            </w:r>
            <w:r>
              <w:t>1</w:t>
            </w:r>
            <w:r w:rsidR="00CA03F0">
              <w:t>0</w:t>
            </w:r>
            <w:r w:rsidRPr="00865CF4">
              <w:t>)</w:t>
            </w:r>
          </w:p>
        </w:tc>
        <w:tc>
          <w:tcPr>
            <w:tcW w:w="2114" w:type="dxa"/>
            <w:tcBorders>
              <w:top w:val="nil"/>
              <w:bottom w:val="nil"/>
            </w:tcBorders>
          </w:tcPr>
          <w:p w14:paraId="67D2D5F7" w14:textId="65C140D3" w:rsidR="00A2382F" w:rsidRPr="00A26235" w:rsidRDefault="00A2382F" w:rsidP="00C0684F">
            <w:pPr>
              <w:pStyle w:val="NormalWeb"/>
              <w:jc w:val="center"/>
            </w:pPr>
            <w:r>
              <w:t>53</w:t>
            </w:r>
            <w:r w:rsidR="00CA03F0">
              <w:t>,</w:t>
            </w:r>
            <w:r>
              <w:t>03</w:t>
            </w:r>
            <w:r w:rsidR="00CA03F0">
              <w:t>0</w:t>
            </w:r>
            <w:r w:rsidRPr="00865CF4">
              <w:t xml:space="preserve"> (11</w:t>
            </w:r>
            <w:r w:rsidR="00CA03F0">
              <w:t>,</w:t>
            </w:r>
            <w:r>
              <w:t>34</w:t>
            </w:r>
            <w:r w:rsidR="00CA03F0">
              <w:t>0</w:t>
            </w:r>
            <w:r w:rsidRPr="00865CF4">
              <w:t>)</w:t>
            </w:r>
          </w:p>
        </w:tc>
        <w:tc>
          <w:tcPr>
            <w:tcW w:w="2114" w:type="dxa"/>
            <w:tcBorders>
              <w:top w:val="nil"/>
              <w:bottom w:val="nil"/>
              <w:right w:val="single" w:sz="4" w:space="0" w:color="auto"/>
            </w:tcBorders>
          </w:tcPr>
          <w:p w14:paraId="47C4A776" w14:textId="1209A75D" w:rsidR="00A2382F" w:rsidRPr="00A26235" w:rsidRDefault="00FF62D1" w:rsidP="00C0684F">
            <w:pPr>
              <w:pStyle w:val="NormalWeb"/>
              <w:jc w:val="center"/>
            </w:pPr>
            <w:r>
              <w:t>5</w:t>
            </w:r>
            <w:r w:rsidR="008D66B6">
              <w:t>2</w:t>
            </w:r>
            <w:r w:rsidR="00CA03F0">
              <w:t>,</w:t>
            </w:r>
            <w:r w:rsidR="008D66B6">
              <w:t>33</w:t>
            </w:r>
            <w:r w:rsidR="00CA03F0">
              <w:t>0</w:t>
            </w:r>
            <w:r>
              <w:t xml:space="preserve"> (11</w:t>
            </w:r>
            <w:r w:rsidR="00CA03F0">
              <w:t>,</w:t>
            </w:r>
            <w:r w:rsidR="008D66B6">
              <w:t>26</w:t>
            </w:r>
            <w:r w:rsidR="00CA03F0">
              <w:t>0)</w:t>
            </w:r>
          </w:p>
        </w:tc>
        <w:tc>
          <w:tcPr>
            <w:tcW w:w="2114" w:type="dxa"/>
            <w:tcBorders>
              <w:top w:val="nil"/>
              <w:left w:val="single" w:sz="4" w:space="0" w:color="auto"/>
              <w:bottom w:val="nil"/>
            </w:tcBorders>
          </w:tcPr>
          <w:p w14:paraId="71E87908" w14:textId="6440D93E" w:rsidR="00A2382F" w:rsidRPr="00865CF4" w:rsidRDefault="00FF62D1" w:rsidP="00C0684F">
            <w:pPr>
              <w:pStyle w:val="NormalWeb"/>
              <w:jc w:val="center"/>
            </w:pPr>
            <w:r>
              <w:t>5</w:t>
            </w:r>
            <w:r w:rsidR="008D66B6">
              <w:t>5</w:t>
            </w:r>
            <w:r w:rsidR="00CA03F0">
              <w:t>,</w:t>
            </w:r>
            <w:r>
              <w:t>5</w:t>
            </w:r>
            <w:r w:rsidR="008D66B6">
              <w:t>3</w:t>
            </w:r>
            <w:r w:rsidR="00CA03F0">
              <w:t>0</w:t>
            </w:r>
            <w:r>
              <w:t xml:space="preserve"> (1</w:t>
            </w:r>
            <w:r w:rsidR="008D66B6">
              <w:t>3</w:t>
            </w:r>
            <w:r w:rsidR="00CA03F0">
              <w:t>,</w:t>
            </w:r>
            <w:r w:rsidR="008D66B6">
              <w:t>03</w:t>
            </w:r>
            <w:r w:rsidR="00CA03F0">
              <w:t>0</w:t>
            </w:r>
            <w:r>
              <w:t>)</w:t>
            </w:r>
          </w:p>
        </w:tc>
      </w:tr>
      <w:tr w:rsidR="00A2382F" w14:paraId="7131F24E" w14:textId="77777777" w:rsidTr="006F1D3A">
        <w:trPr>
          <w:trHeight w:val="286"/>
        </w:trPr>
        <w:tc>
          <w:tcPr>
            <w:tcW w:w="2113" w:type="dxa"/>
            <w:tcBorders>
              <w:top w:val="nil"/>
              <w:bottom w:val="nil"/>
              <w:right w:val="nil"/>
            </w:tcBorders>
          </w:tcPr>
          <w:p w14:paraId="009647B0" w14:textId="238BE6A7" w:rsidR="00A2382F" w:rsidRPr="00A26235" w:rsidRDefault="00A2382F" w:rsidP="00A2382F">
            <w:pPr>
              <w:pStyle w:val="NormalWeb"/>
            </w:pPr>
            <w:r w:rsidRPr="00A26235">
              <w:t>Population density</w:t>
            </w:r>
            <w:r>
              <w:t xml:space="preserve"> (100 residents per square mile)</w:t>
            </w:r>
          </w:p>
        </w:tc>
        <w:tc>
          <w:tcPr>
            <w:tcW w:w="2114" w:type="dxa"/>
            <w:tcBorders>
              <w:top w:val="nil"/>
              <w:bottom w:val="nil"/>
            </w:tcBorders>
          </w:tcPr>
          <w:p w14:paraId="2C010AC5" w14:textId="083E68DA" w:rsidR="00A2382F" w:rsidRPr="00A26235" w:rsidRDefault="00F26D50" w:rsidP="00C0684F">
            <w:pPr>
              <w:pStyle w:val="NormalWeb"/>
              <w:jc w:val="center"/>
            </w:pPr>
            <w:r>
              <w:t>120</w:t>
            </w:r>
            <w:r w:rsidR="00A2382F" w:rsidRPr="00865CF4">
              <w:t xml:space="preserve"> (3</w:t>
            </w:r>
            <w:r w:rsidR="00A2382F">
              <w:t>5</w:t>
            </w:r>
            <w:r>
              <w:t>0</w:t>
            </w:r>
            <w:r w:rsidR="00A2382F" w:rsidRPr="00865CF4">
              <w:t>)</w:t>
            </w:r>
          </w:p>
        </w:tc>
        <w:tc>
          <w:tcPr>
            <w:tcW w:w="2114" w:type="dxa"/>
            <w:tcBorders>
              <w:top w:val="nil"/>
              <w:bottom w:val="nil"/>
            </w:tcBorders>
          </w:tcPr>
          <w:p w14:paraId="38BDD283" w14:textId="57F641D5" w:rsidR="00A2382F" w:rsidRPr="00A26235" w:rsidRDefault="00A2382F" w:rsidP="00C0684F">
            <w:pPr>
              <w:pStyle w:val="NormalWeb"/>
              <w:jc w:val="center"/>
            </w:pPr>
            <w:r w:rsidRPr="00865CF4">
              <w:t>77</w:t>
            </w:r>
            <w:r w:rsidR="00F26D50">
              <w:t>0</w:t>
            </w:r>
            <w:r w:rsidRPr="00865CF4">
              <w:t xml:space="preserve"> (2</w:t>
            </w:r>
            <w:r w:rsidR="00F26D50">
              <w:t>0</w:t>
            </w:r>
            <w:r>
              <w:t>3</w:t>
            </w:r>
            <w:r w:rsidRPr="00865CF4">
              <w:t>)</w:t>
            </w:r>
          </w:p>
        </w:tc>
        <w:tc>
          <w:tcPr>
            <w:tcW w:w="2114" w:type="dxa"/>
            <w:tcBorders>
              <w:top w:val="nil"/>
              <w:bottom w:val="nil"/>
            </w:tcBorders>
          </w:tcPr>
          <w:p w14:paraId="7C30FDAE" w14:textId="7CCA5190" w:rsidR="00A2382F" w:rsidRPr="00A26235" w:rsidRDefault="00A2382F" w:rsidP="00C0684F">
            <w:pPr>
              <w:pStyle w:val="NormalWeb"/>
              <w:jc w:val="center"/>
            </w:pPr>
            <w:r w:rsidRPr="00865CF4">
              <w:t>25</w:t>
            </w:r>
            <w:r w:rsidR="00F26D50">
              <w:t>0</w:t>
            </w:r>
            <w:r w:rsidRPr="00865CF4">
              <w:t xml:space="preserve"> (5</w:t>
            </w:r>
            <w:r w:rsidR="00F26D50">
              <w:t>0</w:t>
            </w:r>
            <w:r w:rsidRPr="00865CF4">
              <w:t>8)</w:t>
            </w:r>
          </w:p>
        </w:tc>
        <w:tc>
          <w:tcPr>
            <w:tcW w:w="2114" w:type="dxa"/>
            <w:tcBorders>
              <w:top w:val="nil"/>
              <w:bottom w:val="nil"/>
              <w:right w:val="single" w:sz="4" w:space="0" w:color="auto"/>
            </w:tcBorders>
          </w:tcPr>
          <w:p w14:paraId="5ED637E3" w14:textId="2B63D7F5" w:rsidR="00A2382F" w:rsidRPr="00A26235" w:rsidRDefault="008D66B6" w:rsidP="00C0684F">
            <w:pPr>
              <w:pStyle w:val="NormalWeb"/>
              <w:jc w:val="center"/>
            </w:pPr>
            <w:r>
              <w:t>9</w:t>
            </w:r>
            <w:r w:rsidR="00F26D50">
              <w:t>0</w:t>
            </w:r>
            <w:r w:rsidR="005D7F92">
              <w:t xml:space="preserve"> (1</w:t>
            </w:r>
            <w:r>
              <w:t>5</w:t>
            </w:r>
            <w:r w:rsidR="00F26D50">
              <w:t>0</w:t>
            </w:r>
            <w:r w:rsidR="005D7F92">
              <w:t>)</w:t>
            </w:r>
          </w:p>
        </w:tc>
        <w:tc>
          <w:tcPr>
            <w:tcW w:w="2114" w:type="dxa"/>
            <w:tcBorders>
              <w:top w:val="nil"/>
              <w:left w:val="single" w:sz="4" w:space="0" w:color="auto"/>
              <w:bottom w:val="nil"/>
            </w:tcBorders>
          </w:tcPr>
          <w:p w14:paraId="0E050232" w14:textId="5D8AFCCF" w:rsidR="00A2382F" w:rsidRPr="00865CF4" w:rsidRDefault="008D66B6" w:rsidP="00C0684F">
            <w:pPr>
              <w:pStyle w:val="NormalWeb"/>
              <w:jc w:val="center"/>
            </w:pPr>
            <w:r>
              <w:t>49</w:t>
            </w:r>
            <w:r w:rsidR="00F26D50">
              <w:t>0</w:t>
            </w:r>
            <w:r w:rsidR="005D7F92">
              <w:t xml:space="preserve"> (</w:t>
            </w:r>
            <w:r>
              <w:t>81</w:t>
            </w:r>
            <w:r w:rsidR="00F26D50">
              <w:t>0</w:t>
            </w:r>
            <w:r w:rsidR="005D7F92">
              <w:t>)</w:t>
            </w:r>
          </w:p>
        </w:tc>
      </w:tr>
      <w:tr w:rsidR="004034FD" w14:paraId="1C706888" w14:textId="77777777" w:rsidTr="006F1D3A">
        <w:trPr>
          <w:trHeight w:val="286"/>
        </w:trPr>
        <w:tc>
          <w:tcPr>
            <w:tcW w:w="2113" w:type="dxa"/>
            <w:tcBorders>
              <w:top w:val="nil"/>
              <w:bottom w:val="nil"/>
              <w:right w:val="nil"/>
            </w:tcBorders>
          </w:tcPr>
          <w:p w14:paraId="01C26887" w14:textId="48BC1D76" w:rsidR="004034FD" w:rsidRPr="00A26235" w:rsidRDefault="004034FD" w:rsidP="00A2382F">
            <w:pPr>
              <w:pStyle w:val="NormalWeb"/>
            </w:pPr>
            <w:r>
              <w:t xml:space="preserve">Percent of county population that </w:t>
            </w:r>
            <w:r w:rsidR="00D6088A">
              <w:t>is</w:t>
            </w:r>
            <w:r>
              <w:t xml:space="preserve"> </w:t>
            </w:r>
            <w:r w:rsidR="00807939">
              <w:t>incarcerated individuals</w:t>
            </w:r>
            <w:r>
              <w:t xml:space="preserve"> </w:t>
            </w:r>
          </w:p>
        </w:tc>
        <w:tc>
          <w:tcPr>
            <w:tcW w:w="2114" w:type="dxa"/>
            <w:tcBorders>
              <w:top w:val="nil"/>
              <w:bottom w:val="nil"/>
            </w:tcBorders>
          </w:tcPr>
          <w:p w14:paraId="1A30B266" w14:textId="5DD54027" w:rsidR="004034FD" w:rsidRDefault="003C6EEB" w:rsidP="00C0684F">
            <w:pPr>
              <w:pStyle w:val="NormalWeb"/>
              <w:jc w:val="center"/>
            </w:pPr>
            <w:r>
              <w:t>1.60 (4.53)</w:t>
            </w:r>
          </w:p>
        </w:tc>
        <w:tc>
          <w:tcPr>
            <w:tcW w:w="2114" w:type="dxa"/>
            <w:tcBorders>
              <w:top w:val="nil"/>
              <w:bottom w:val="nil"/>
            </w:tcBorders>
          </w:tcPr>
          <w:p w14:paraId="5938C51A" w14:textId="5B92671C" w:rsidR="004034FD" w:rsidRDefault="000C3998" w:rsidP="00C0684F">
            <w:pPr>
              <w:pStyle w:val="NormalWeb"/>
              <w:jc w:val="center"/>
            </w:pPr>
            <w:r>
              <w:t>0.00 (0.00)</w:t>
            </w:r>
          </w:p>
        </w:tc>
        <w:tc>
          <w:tcPr>
            <w:tcW w:w="2114" w:type="dxa"/>
            <w:tcBorders>
              <w:top w:val="nil"/>
              <w:bottom w:val="nil"/>
            </w:tcBorders>
          </w:tcPr>
          <w:p w14:paraId="71EE6350" w14:textId="70488009" w:rsidR="004034FD" w:rsidRDefault="00EE2623" w:rsidP="00C0684F">
            <w:pPr>
              <w:pStyle w:val="NormalWeb"/>
              <w:jc w:val="center"/>
            </w:pPr>
            <w:r>
              <w:t>7.01 (7.24)</w:t>
            </w:r>
          </w:p>
        </w:tc>
        <w:tc>
          <w:tcPr>
            <w:tcW w:w="2114" w:type="dxa"/>
            <w:tcBorders>
              <w:top w:val="nil"/>
              <w:bottom w:val="nil"/>
              <w:right w:val="single" w:sz="4" w:space="0" w:color="auto"/>
            </w:tcBorders>
          </w:tcPr>
          <w:p w14:paraId="6164F157" w14:textId="4A9A2A1A" w:rsidR="004034FD" w:rsidRDefault="00EE2623" w:rsidP="00C0684F">
            <w:pPr>
              <w:pStyle w:val="NormalWeb"/>
              <w:jc w:val="center"/>
            </w:pPr>
            <w:r>
              <w:t>9.17 (7.54)</w:t>
            </w:r>
          </w:p>
        </w:tc>
        <w:tc>
          <w:tcPr>
            <w:tcW w:w="2114" w:type="dxa"/>
            <w:tcBorders>
              <w:top w:val="nil"/>
              <w:left w:val="single" w:sz="4" w:space="0" w:color="auto"/>
              <w:bottom w:val="nil"/>
            </w:tcBorders>
          </w:tcPr>
          <w:p w14:paraId="788B8B6A" w14:textId="7684C6FF" w:rsidR="004034FD" w:rsidRDefault="00EE2623" w:rsidP="00C0684F">
            <w:pPr>
              <w:pStyle w:val="NormalWeb"/>
              <w:jc w:val="center"/>
            </w:pPr>
            <w:r>
              <w:t>2.99 (3.36)</w:t>
            </w:r>
          </w:p>
        </w:tc>
      </w:tr>
      <w:tr w:rsidR="00A2382F" w14:paraId="4DF6DE73" w14:textId="77777777" w:rsidTr="006F1D3A">
        <w:trPr>
          <w:trHeight w:val="286"/>
        </w:trPr>
        <w:tc>
          <w:tcPr>
            <w:tcW w:w="2113" w:type="dxa"/>
            <w:tcBorders>
              <w:top w:val="nil"/>
              <w:bottom w:val="single" w:sz="4" w:space="0" w:color="auto"/>
              <w:right w:val="nil"/>
            </w:tcBorders>
          </w:tcPr>
          <w:p w14:paraId="2427F59A" w14:textId="32E2F0F0" w:rsidR="00A2382F" w:rsidRPr="0062549B" w:rsidRDefault="00A2382F" w:rsidP="00A2382F">
            <w:pPr>
              <w:pStyle w:val="NormalWeb"/>
            </w:pPr>
            <w:r w:rsidRPr="0062549B">
              <w:t xml:space="preserve">Percent </w:t>
            </w:r>
            <w:r>
              <w:t>non-Hispanic W</w:t>
            </w:r>
            <w:r w:rsidRPr="0062549B">
              <w:t>hite</w:t>
            </w:r>
          </w:p>
        </w:tc>
        <w:tc>
          <w:tcPr>
            <w:tcW w:w="2114" w:type="dxa"/>
            <w:tcBorders>
              <w:top w:val="nil"/>
              <w:bottom w:val="single" w:sz="4" w:space="0" w:color="auto"/>
            </w:tcBorders>
          </w:tcPr>
          <w:p w14:paraId="0633397B" w14:textId="662ED158" w:rsidR="00A2382F" w:rsidRPr="0062549B" w:rsidRDefault="00A2382F" w:rsidP="00C0684F">
            <w:pPr>
              <w:pStyle w:val="NormalWeb"/>
              <w:jc w:val="center"/>
            </w:pPr>
            <w:r>
              <w:t>55.47 (21.36)</w:t>
            </w:r>
          </w:p>
        </w:tc>
        <w:tc>
          <w:tcPr>
            <w:tcW w:w="2114" w:type="dxa"/>
            <w:tcBorders>
              <w:top w:val="nil"/>
              <w:bottom w:val="single" w:sz="4" w:space="0" w:color="auto"/>
            </w:tcBorders>
          </w:tcPr>
          <w:p w14:paraId="25DE4E8B" w14:textId="22074057" w:rsidR="00A2382F" w:rsidRPr="0062549B" w:rsidRDefault="00A2382F" w:rsidP="00C0684F">
            <w:pPr>
              <w:pStyle w:val="NormalWeb"/>
              <w:jc w:val="center"/>
            </w:pPr>
            <w:r>
              <w:t>56.19 (22.31)</w:t>
            </w:r>
          </w:p>
        </w:tc>
        <w:tc>
          <w:tcPr>
            <w:tcW w:w="2114" w:type="dxa"/>
            <w:tcBorders>
              <w:top w:val="nil"/>
              <w:bottom w:val="single" w:sz="4" w:space="0" w:color="auto"/>
            </w:tcBorders>
          </w:tcPr>
          <w:p w14:paraId="32B6FEFB" w14:textId="349EDDCD" w:rsidR="00A2382F" w:rsidRPr="0062549B" w:rsidRDefault="00A2382F" w:rsidP="00C0684F">
            <w:pPr>
              <w:pStyle w:val="NormalWeb"/>
              <w:jc w:val="center"/>
            </w:pPr>
            <w:r>
              <w:t>53.04 (17.74)</w:t>
            </w:r>
          </w:p>
        </w:tc>
        <w:tc>
          <w:tcPr>
            <w:tcW w:w="2114" w:type="dxa"/>
            <w:tcBorders>
              <w:top w:val="nil"/>
              <w:bottom w:val="single" w:sz="4" w:space="0" w:color="auto"/>
              <w:right w:val="single" w:sz="4" w:space="0" w:color="auto"/>
            </w:tcBorders>
          </w:tcPr>
          <w:p w14:paraId="242998BE" w14:textId="49481E1F" w:rsidR="00A2382F" w:rsidRPr="0062549B" w:rsidRDefault="005D7F92" w:rsidP="00C0684F">
            <w:pPr>
              <w:pStyle w:val="NormalWeb"/>
              <w:jc w:val="center"/>
            </w:pPr>
            <w:r>
              <w:t>5</w:t>
            </w:r>
            <w:r w:rsidR="008D66B6">
              <w:t>4</w:t>
            </w:r>
            <w:r>
              <w:t>.0</w:t>
            </w:r>
            <w:r w:rsidR="008D66B6">
              <w:t>2</w:t>
            </w:r>
            <w:r>
              <w:t xml:space="preserve"> (14.</w:t>
            </w:r>
            <w:r w:rsidR="008D66B6">
              <w:t>84</w:t>
            </w:r>
            <w:r>
              <w:t>)</w:t>
            </w:r>
          </w:p>
        </w:tc>
        <w:tc>
          <w:tcPr>
            <w:tcW w:w="2114" w:type="dxa"/>
            <w:tcBorders>
              <w:top w:val="nil"/>
              <w:left w:val="single" w:sz="4" w:space="0" w:color="auto"/>
              <w:bottom w:val="single" w:sz="4" w:space="0" w:color="auto"/>
            </w:tcBorders>
          </w:tcPr>
          <w:p w14:paraId="0295F579" w14:textId="642A89ED" w:rsidR="00A2382F" w:rsidRPr="00865CF4" w:rsidRDefault="005D7F92" w:rsidP="00C0684F">
            <w:pPr>
              <w:pStyle w:val="NormalWeb"/>
              <w:jc w:val="center"/>
            </w:pPr>
            <w:r>
              <w:t>5</w:t>
            </w:r>
            <w:r w:rsidR="008D66B6">
              <w:t>2.77</w:t>
            </w:r>
            <w:r>
              <w:t xml:space="preserve"> (20.</w:t>
            </w:r>
            <w:r w:rsidR="008D66B6">
              <w:t>88</w:t>
            </w:r>
            <w:r>
              <w:t>)</w:t>
            </w:r>
          </w:p>
        </w:tc>
      </w:tr>
    </w:tbl>
    <w:p w14:paraId="1CE1785B" w14:textId="77777777" w:rsidR="00314B9A" w:rsidRDefault="00314B9A" w:rsidP="003761D3">
      <w:pPr>
        <w:pStyle w:val="NormalWeb"/>
        <w:spacing w:after="60" w:afterAutospacing="0"/>
      </w:pPr>
    </w:p>
    <w:p w14:paraId="0A2C4BE1" w14:textId="77777777" w:rsidR="00314B9A" w:rsidRDefault="00314B9A" w:rsidP="003761D3">
      <w:pPr>
        <w:pStyle w:val="NormalWeb"/>
        <w:spacing w:after="60" w:afterAutospacing="0"/>
      </w:pPr>
    </w:p>
    <w:p w14:paraId="068C140A" w14:textId="77777777" w:rsidR="00314B9A" w:rsidRDefault="00314B9A" w:rsidP="003761D3">
      <w:pPr>
        <w:pStyle w:val="NormalWeb"/>
        <w:spacing w:after="60" w:afterAutospacing="0"/>
      </w:pPr>
    </w:p>
    <w:p w14:paraId="07C7451D" w14:textId="77777777" w:rsidR="00314B9A" w:rsidRDefault="00314B9A" w:rsidP="003761D3">
      <w:pPr>
        <w:pStyle w:val="NormalWeb"/>
        <w:spacing w:after="60" w:afterAutospacing="0"/>
      </w:pPr>
    </w:p>
    <w:p w14:paraId="56235C91" w14:textId="77777777" w:rsidR="00DF535B" w:rsidRDefault="00DF535B" w:rsidP="003761D3">
      <w:pPr>
        <w:pStyle w:val="NormalWeb"/>
        <w:spacing w:after="60" w:afterAutospacing="0"/>
      </w:pPr>
    </w:p>
    <w:p w14:paraId="26ABFE68" w14:textId="58FF5316" w:rsidR="000E5B36" w:rsidRPr="00314B9A" w:rsidRDefault="00101963" w:rsidP="003761D3">
      <w:pPr>
        <w:pStyle w:val="NormalWeb"/>
        <w:spacing w:after="60" w:afterAutospacing="0"/>
      </w:pPr>
      <w:r w:rsidRPr="00314B9A">
        <w:lastRenderedPageBreak/>
        <w:t xml:space="preserve">Table 2: </w:t>
      </w:r>
      <w:r w:rsidR="005E1733" w:rsidRPr="00314B9A">
        <w:t xml:space="preserve">OLS regression showing </w:t>
      </w:r>
      <w:r w:rsidRPr="00314B9A">
        <w:t>PM</w:t>
      </w:r>
      <w:r w:rsidRPr="00314B9A">
        <w:rPr>
          <w:vertAlign w:val="subscript"/>
        </w:rPr>
        <w:t>2.5</w:t>
      </w:r>
      <w:r w:rsidRPr="00314B9A">
        <w:t xml:space="preserve"> concentrations in counties with </w:t>
      </w:r>
      <w:r w:rsidR="008E2401" w:rsidRPr="00314B9A">
        <w:t>TDCJ</w:t>
      </w:r>
      <w:r w:rsidRPr="00314B9A">
        <w:t xml:space="preserve"> facilities relative to in counties without </w:t>
      </w:r>
      <w:r w:rsidR="005E1733" w:rsidRPr="00314B9A">
        <w:t xml:space="preserve">TDCJ </w:t>
      </w:r>
      <w:r w:rsidRPr="00314B9A">
        <w:t>facilities</w:t>
      </w:r>
      <w:r w:rsidR="00B51B58" w:rsidRPr="00314B9A">
        <w:t>.</w:t>
      </w:r>
      <w:r w:rsidRPr="00314B9A">
        <w:t xml:space="preserve"> </w:t>
      </w:r>
    </w:p>
    <w:tbl>
      <w:tblPr>
        <w:tblStyle w:val="TableGrid"/>
        <w:tblW w:w="12856" w:type="dxa"/>
        <w:tblLook w:val="04A0" w:firstRow="1" w:lastRow="0" w:firstColumn="1" w:lastColumn="0" w:noHBand="0" w:noVBand="1"/>
      </w:tblPr>
      <w:tblGrid>
        <w:gridCol w:w="3214"/>
        <w:gridCol w:w="3214"/>
        <w:gridCol w:w="3214"/>
        <w:gridCol w:w="3214"/>
      </w:tblGrid>
      <w:tr w:rsidR="00DB4979" w14:paraId="4C1C171C" w14:textId="77777777" w:rsidTr="00DB4979">
        <w:trPr>
          <w:trHeight w:val="296"/>
        </w:trPr>
        <w:tc>
          <w:tcPr>
            <w:tcW w:w="3214" w:type="dxa"/>
            <w:tcBorders>
              <w:bottom w:val="single" w:sz="4" w:space="0" w:color="auto"/>
              <w:right w:val="nil"/>
            </w:tcBorders>
          </w:tcPr>
          <w:p w14:paraId="725FF6E2" w14:textId="77777777" w:rsidR="00F925A1" w:rsidRDefault="00F925A1" w:rsidP="003761D3">
            <w:pPr>
              <w:pStyle w:val="NormalWeb"/>
              <w:spacing w:after="60" w:afterAutospacing="0"/>
              <w:rPr>
                <w:b/>
                <w:bCs/>
              </w:rPr>
            </w:pPr>
          </w:p>
        </w:tc>
        <w:tc>
          <w:tcPr>
            <w:tcW w:w="3214" w:type="dxa"/>
            <w:tcBorders>
              <w:left w:val="nil"/>
              <w:bottom w:val="single" w:sz="4" w:space="0" w:color="auto"/>
              <w:right w:val="nil"/>
            </w:tcBorders>
          </w:tcPr>
          <w:p w14:paraId="20A4871A" w14:textId="38CB7069" w:rsidR="00F925A1" w:rsidRPr="00F958C0" w:rsidRDefault="00F925A1" w:rsidP="003761D3">
            <w:pPr>
              <w:pStyle w:val="NormalWeb"/>
              <w:spacing w:before="0" w:beforeAutospacing="0" w:after="60" w:afterAutospacing="0"/>
              <w:jc w:val="center"/>
            </w:pPr>
            <w:r>
              <w:rPr>
                <w:i/>
                <w:color w:val="000000"/>
              </w:rPr>
              <w:t>b</w:t>
            </w:r>
          </w:p>
        </w:tc>
        <w:tc>
          <w:tcPr>
            <w:tcW w:w="3214" w:type="dxa"/>
            <w:tcBorders>
              <w:left w:val="nil"/>
              <w:right w:val="nil"/>
            </w:tcBorders>
          </w:tcPr>
          <w:p w14:paraId="3ABFADF7" w14:textId="5C11B9F4" w:rsidR="00F925A1" w:rsidRPr="00F958C0" w:rsidRDefault="00F925A1" w:rsidP="003761D3">
            <w:pPr>
              <w:pStyle w:val="NormalWeb"/>
              <w:spacing w:before="0" w:beforeAutospacing="0" w:after="60" w:afterAutospacing="0"/>
              <w:jc w:val="center"/>
            </w:pPr>
            <w:r w:rsidRPr="00F454B3">
              <w:rPr>
                <w:color w:val="000000"/>
              </w:rPr>
              <w:t>95% CI</w:t>
            </w:r>
          </w:p>
        </w:tc>
        <w:tc>
          <w:tcPr>
            <w:tcW w:w="3214" w:type="dxa"/>
            <w:tcBorders>
              <w:left w:val="nil"/>
            </w:tcBorders>
          </w:tcPr>
          <w:p w14:paraId="17770589" w14:textId="45249D09" w:rsidR="00F925A1" w:rsidRPr="0028572E" w:rsidRDefault="0028572E" w:rsidP="003761D3">
            <w:pPr>
              <w:pStyle w:val="NormalWeb"/>
              <w:spacing w:before="0" w:beforeAutospacing="0" w:after="60" w:afterAutospacing="0"/>
              <w:jc w:val="center"/>
            </w:pPr>
            <w:r>
              <w:t>p-value</w:t>
            </w:r>
          </w:p>
        </w:tc>
      </w:tr>
      <w:tr w:rsidR="00DB4979" w14:paraId="4C60E16A" w14:textId="77777777" w:rsidTr="00DB4979">
        <w:trPr>
          <w:trHeight w:val="286"/>
        </w:trPr>
        <w:tc>
          <w:tcPr>
            <w:tcW w:w="3214" w:type="dxa"/>
            <w:tcBorders>
              <w:top w:val="single" w:sz="4" w:space="0" w:color="auto"/>
              <w:bottom w:val="nil"/>
              <w:right w:val="nil"/>
            </w:tcBorders>
          </w:tcPr>
          <w:p w14:paraId="3297E133" w14:textId="78E15488" w:rsidR="00F925A1" w:rsidRPr="00AB083F" w:rsidRDefault="00DB4979" w:rsidP="003761D3">
            <w:pPr>
              <w:pStyle w:val="NormalWeb"/>
              <w:spacing w:after="0" w:afterAutospacing="0"/>
            </w:pPr>
            <w:r>
              <w:t xml:space="preserve">County has a </w:t>
            </w:r>
            <w:r w:rsidR="006B2F4A">
              <w:t>TDCJ</w:t>
            </w:r>
            <w:r>
              <w:t xml:space="preserve"> facility</w:t>
            </w:r>
          </w:p>
        </w:tc>
        <w:tc>
          <w:tcPr>
            <w:tcW w:w="3214" w:type="dxa"/>
            <w:tcBorders>
              <w:left w:val="nil"/>
              <w:bottom w:val="nil"/>
              <w:right w:val="nil"/>
            </w:tcBorders>
          </w:tcPr>
          <w:p w14:paraId="07A7402A" w14:textId="2F0793E6" w:rsidR="00F925A1" w:rsidRPr="0032193C" w:rsidRDefault="00F03F55" w:rsidP="005D693E">
            <w:pPr>
              <w:pStyle w:val="NormalWeb"/>
              <w:spacing w:after="0" w:afterAutospacing="0"/>
              <w:jc w:val="center"/>
            </w:pPr>
            <w:r>
              <w:t xml:space="preserve"> </w:t>
            </w:r>
            <w:r w:rsidR="00DD2205" w:rsidRPr="00DD2205">
              <w:t>.</w:t>
            </w:r>
            <w:r w:rsidR="006E29DE">
              <w:t>574</w:t>
            </w:r>
          </w:p>
        </w:tc>
        <w:tc>
          <w:tcPr>
            <w:tcW w:w="3214" w:type="dxa"/>
            <w:tcBorders>
              <w:left w:val="nil"/>
              <w:bottom w:val="nil"/>
              <w:right w:val="nil"/>
            </w:tcBorders>
          </w:tcPr>
          <w:p w14:paraId="36554E8B" w14:textId="4BAFB38D" w:rsidR="00F925A1" w:rsidRPr="0032193C" w:rsidRDefault="00F03F55" w:rsidP="005D693E">
            <w:pPr>
              <w:pStyle w:val="NormalWeb"/>
              <w:spacing w:after="0" w:afterAutospacing="0"/>
              <w:jc w:val="center"/>
            </w:pPr>
            <w:r>
              <w:t xml:space="preserve">  </w:t>
            </w:r>
            <w:r w:rsidR="00812A70">
              <w:t xml:space="preserve"> </w:t>
            </w:r>
            <w:r w:rsidR="00DD2205" w:rsidRPr="00DD2205">
              <w:t>[</w:t>
            </w:r>
            <w:r w:rsidR="00A14113">
              <w:t>.</w:t>
            </w:r>
            <w:r w:rsidR="006E29DE">
              <w:t>066</w:t>
            </w:r>
            <w:r w:rsidR="00DD2205" w:rsidRPr="00DD2205">
              <w:t>,</w:t>
            </w:r>
            <w:r w:rsidR="00A14113">
              <w:t xml:space="preserve"> </w:t>
            </w:r>
            <w:r w:rsidR="00E57FBC">
              <w:t>1.</w:t>
            </w:r>
            <w:r w:rsidR="006E29DE">
              <w:t>082</w:t>
            </w:r>
            <w:r w:rsidR="00DD2205" w:rsidRPr="00DD2205">
              <w:t>]</w:t>
            </w:r>
          </w:p>
        </w:tc>
        <w:tc>
          <w:tcPr>
            <w:tcW w:w="3214" w:type="dxa"/>
            <w:tcBorders>
              <w:left w:val="nil"/>
              <w:bottom w:val="nil"/>
            </w:tcBorders>
          </w:tcPr>
          <w:p w14:paraId="01B308AF" w14:textId="363841E0" w:rsidR="00F925A1" w:rsidRPr="0032193C" w:rsidRDefault="00812A70" w:rsidP="005D693E">
            <w:pPr>
              <w:pStyle w:val="NormalWeb"/>
              <w:spacing w:after="0" w:afterAutospacing="0"/>
              <w:jc w:val="center"/>
            </w:pPr>
            <w:r>
              <w:t xml:space="preserve">   </w:t>
            </w:r>
            <w:r w:rsidR="00DD2205">
              <w:t>.</w:t>
            </w:r>
            <w:r w:rsidR="00A14113">
              <w:t>0</w:t>
            </w:r>
            <w:r w:rsidR="006E29DE">
              <w:t>27</w:t>
            </w:r>
          </w:p>
        </w:tc>
      </w:tr>
      <w:tr w:rsidR="006E29DE" w14:paraId="13FB786F" w14:textId="77777777" w:rsidTr="00DB4979">
        <w:trPr>
          <w:trHeight w:val="272"/>
        </w:trPr>
        <w:tc>
          <w:tcPr>
            <w:tcW w:w="3214" w:type="dxa"/>
            <w:tcBorders>
              <w:top w:val="nil"/>
              <w:bottom w:val="nil"/>
              <w:right w:val="nil"/>
            </w:tcBorders>
          </w:tcPr>
          <w:p w14:paraId="56D497FF" w14:textId="740F8EC9" w:rsidR="006E29DE" w:rsidRPr="00A26235" w:rsidRDefault="006E29DE" w:rsidP="003761D3">
            <w:pPr>
              <w:pStyle w:val="NormalWeb"/>
              <w:spacing w:after="0" w:afterAutospacing="0"/>
            </w:pPr>
            <w:r>
              <w:t>Land area</w:t>
            </w:r>
          </w:p>
        </w:tc>
        <w:tc>
          <w:tcPr>
            <w:tcW w:w="3214" w:type="dxa"/>
            <w:tcBorders>
              <w:top w:val="nil"/>
              <w:left w:val="nil"/>
              <w:bottom w:val="nil"/>
              <w:right w:val="nil"/>
            </w:tcBorders>
          </w:tcPr>
          <w:p w14:paraId="34D7ECC0" w14:textId="5B6CC08D" w:rsidR="006E29DE" w:rsidRDefault="006E29DE" w:rsidP="005D693E">
            <w:pPr>
              <w:pStyle w:val="NormalWeb"/>
              <w:spacing w:after="0" w:afterAutospacing="0"/>
              <w:jc w:val="center"/>
            </w:pPr>
            <w:r>
              <w:t>-.001</w:t>
            </w:r>
          </w:p>
        </w:tc>
        <w:tc>
          <w:tcPr>
            <w:tcW w:w="3214" w:type="dxa"/>
            <w:tcBorders>
              <w:top w:val="nil"/>
              <w:left w:val="nil"/>
              <w:bottom w:val="nil"/>
              <w:right w:val="nil"/>
            </w:tcBorders>
          </w:tcPr>
          <w:p w14:paraId="5AA256CB" w14:textId="0807049C" w:rsidR="006E29DE" w:rsidRDefault="00812A70" w:rsidP="005D693E">
            <w:pPr>
              <w:pStyle w:val="NormalWeb"/>
              <w:spacing w:after="0" w:afterAutospacing="0"/>
              <w:jc w:val="center"/>
            </w:pPr>
            <w:r>
              <w:t xml:space="preserve"> </w:t>
            </w:r>
            <w:r w:rsidR="006E29DE">
              <w:t>[-.001, -.000]</w:t>
            </w:r>
          </w:p>
        </w:tc>
        <w:tc>
          <w:tcPr>
            <w:tcW w:w="3214" w:type="dxa"/>
            <w:tcBorders>
              <w:top w:val="nil"/>
              <w:left w:val="nil"/>
              <w:bottom w:val="nil"/>
            </w:tcBorders>
          </w:tcPr>
          <w:p w14:paraId="20E889CE" w14:textId="4B92B479" w:rsidR="006E29DE" w:rsidRDefault="006E29DE" w:rsidP="005D693E">
            <w:pPr>
              <w:pStyle w:val="NormalWeb"/>
              <w:spacing w:after="0" w:afterAutospacing="0"/>
              <w:jc w:val="center"/>
            </w:pPr>
            <w:r>
              <w:t>&lt; .001</w:t>
            </w:r>
          </w:p>
        </w:tc>
      </w:tr>
      <w:tr w:rsidR="006E29DE" w14:paraId="1F958765" w14:textId="77777777" w:rsidTr="00DB4979">
        <w:trPr>
          <w:trHeight w:val="272"/>
        </w:trPr>
        <w:tc>
          <w:tcPr>
            <w:tcW w:w="3214" w:type="dxa"/>
            <w:tcBorders>
              <w:top w:val="nil"/>
              <w:bottom w:val="nil"/>
              <w:right w:val="nil"/>
            </w:tcBorders>
          </w:tcPr>
          <w:p w14:paraId="6B2BA92E" w14:textId="5C9DE76F" w:rsidR="006E29DE" w:rsidRPr="00A26235" w:rsidRDefault="006E29DE" w:rsidP="003761D3">
            <w:pPr>
              <w:pStyle w:val="NormalWeb"/>
              <w:spacing w:after="0" w:afterAutospacing="0"/>
            </w:pPr>
            <w:r>
              <w:t>Percent industry employees</w:t>
            </w:r>
          </w:p>
        </w:tc>
        <w:tc>
          <w:tcPr>
            <w:tcW w:w="3214" w:type="dxa"/>
            <w:tcBorders>
              <w:top w:val="nil"/>
              <w:left w:val="nil"/>
              <w:bottom w:val="nil"/>
              <w:right w:val="nil"/>
            </w:tcBorders>
          </w:tcPr>
          <w:p w14:paraId="05063264" w14:textId="7AF4A8CC" w:rsidR="006E29DE" w:rsidRDefault="006E29DE" w:rsidP="005D693E">
            <w:pPr>
              <w:pStyle w:val="NormalWeb"/>
              <w:spacing w:after="0" w:afterAutospacing="0"/>
              <w:jc w:val="center"/>
            </w:pPr>
            <w:r>
              <w:t>-.052</w:t>
            </w:r>
          </w:p>
        </w:tc>
        <w:tc>
          <w:tcPr>
            <w:tcW w:w="3214" w:type="dxa"/>
            <w:tcBorders>
              <w:top w:val="nil"/>
              <w:left w:val="nil"/>
              <w:bottom w:val="nil"/>
              <w:right w:val="nil"/>
            </w:tcBorders>
          </w:tcPr>
          <w:p w14:paraId="59C7D05D" w14:textId="10489603" w:rsidR="006E29DE" w:rsidRDefault="00812A70" w:rsidP="005D693E">
            <w:pPr>
              <w:pStyle w:val="NormalWeb"/>
              <w:spacing w:after="0" w:afterAutospacing="0"/>
              <w:jc w:val="center"/>
            </w:pPr>
            <w:r>
              <w:t xml:space="preserve"> </w:t>
            </w:r>
            <w:r w:rsidR="006E29DE">
              <w:t>[-.073, -.032]</w:t>
            </w:r>
          </w:p>
        </w:tc>
        <w:tc>
          <w:tcPr>
            <w:tcW w:w="3214" w:type="dxa"/>
            <w:tcBorders>
              <w:top w:val="nil"/>
              <w:left w:val="nil"/>
              <w:bottom w:val="nil"/>
            </w:tcBorders>
          </w:tcPr>
          <w:p w14:paraId="619155CD" w14:textId="56226929" w:rsidR="006E29DE" w:rsidRDefault="006E29DE" w:rsidP="005D693E">
            <w:pPr>
              <w:pStyle w:val="NormalWeb"/>
              <w:spacing w:after="0" w:afterAutospacing="0"/>
              <w:jc w:val="center"/>
            </w:pPr>
            <w:r>
              <w:t>&lt; .001</w:t>
            </w:r>
          </w:p>
        </w:tc>
      </w:tr>
      <w:tr w:rsidR="00DB4979" w14:paraId="69BA0BD9" w14:textId="77777777" w:rsidTr="00DB4979">
        <w:trPr>
          <w:trHeight w:val="272"/>
        </w:trPr>
        <w:tc>
          <w:tcPr>
            <w:tcW w:w="3214" w:type="dxa"/>
            <w:tcBorders>
              <w:top w:val="nil"/>
              <w:bottom w:val="nil"/>
              <w:right w:val="nil"/>
            </w:tcBorders>
          </w:tcPr>
          <w:p w14:paraId="3BB4700F" w14:textId="77777777" w:rsidR="00F925A1" w:rsidRPr="00A26235" w:rsidRDefault="00F925A1" w:rsidP="003761D3">
            <w:pPr>
              <w:pStyle w:val="NormalWeb"/>
              <w:spacing w:after="0" w:afterAutospacing="0"/>
            </w:pPr>
            <w:r w:rsidRPr="00A26235">
              <w:t>Median household income</w:t>
            </w:r>
          </w:p>
        </w:tc>
        <w:tc>
          <w:tcPr>
            <w:tcW w:w="3214" w:type="dxa"/>
            <w:tcBorders>
              <w:top w:val="nil"/>
              <w:left w:val="nil"/>
              <w:bottom w:val="nil"/>
              <w:right w:val="nil"/>
            </w:tcBorders>
          </w:tcPr>
          <w:p w14:paraId="143BC40C" w14:textId="33726E35" w:rsidR="00F925A1" w:rsidRPr="00865CF4" w:rsidRDefault="00F03F55" w:rsidP="005D693E">
            <w:pPr>
              <w:pStyle w:val="NormalWeb"/>
              <w:spacing w:after="0" w:afterAutospacing="0"/>
              <w:jc w:val="center"/>
            </w:pPr>
            <w:r>
              <w:t xml:space="preserve"> </w:t>
            </w:r>
            <w:r w:rsidR="00F8238F">
              <w:t>.</w:t>
            </w:r>
            <w:r w:rsidR="00A14113">
              <w:t>00</w:t>
            </w:r>
            <w:r w:rsidR="003241E2">
              <w:t>7</w:t>
            </w:r>
          </w:p>
        </w:tc>
        <w:tc>
          <w:tcPr>
            <w:tcW w:w="3214" w:type="dxa"/>
            <w:tcBorders>
              <w:top w:val="nil"/>
              <w:left w:val="nil"/>
              <w:bottom w:val="nil"/>
              <w:right w:val="nil"/>
            </w:tcBorders>
          </w:tcPr>
          <w:p w14:paraId="53DCB69B" w14:textId="188895E6" w:rsidR="00F925A1" w:rsidRPr="00865CF4" w:rsidRDefault="00F8238F" w:rsidP="005D693E">
            <w:pPr>
              <w:pStyle w:val="NormalWeb"/>
              <w:spacing w:after="0" w:afterAutospacing="0"/>
              <w:jc w:val="center"/>
            </w:pPr>
            <w:r>
              <w:t>[</w:t>
            </w:r>
            <w:r w:rsidR="00022B56">
              <w:t>-</w:t>
            </w:r>
            <w:r w:rsidR="00A14113">
              <w:t>.00</w:t>
            </w:r>
            <w:r w:rsidR="003241E2">
              <w:t>5</w:t>
            </w:r>
            <w:r>
              <w:t xml:space="preserve">, </w:t>
            </w:r>
            <w:r w:rsidR="00A14113">
              <w:t>.0</w:t>
            </w:r>
            <w:r w:rsidR="00022B56">
              <w:t>1</w:t>
            </w:r>
            <w:r w:rsidR="00E57FBC">
              <w:t>8</w:t>
            </w:r>
            <w:r>
              <w:t>]</w:t>
            </w:r>
          </w:p>
        </w:tc>
        <w:tc>
          <w:tcPr>
            <w:tcW w:w="3214" w:type="dxa"/>
            <w:tcBorders>
              <w:top w:val="nil"/>
              <w:left w:val="nil"/>
              <w:bottom w:val="nil"/>
            </w:tcBorders>
          </w:tcPr>
          <w:p w14:paraId="555645A1" w14:textId="68E084EB" w:rsidR="00F925A1" w:rsidRPr="00865CF4" w:rsidRDefault="00812A70" w:rsidP="005D693E">
            <w:pPr>
              <w:pStyle w:val="NormalWeb"/>
              <w:spacing w:after="0" w:afterAutospacing="0"/>
              <w:jc w:val="center"/>
            </w:pPr>
            <w:r>
              <w:t xml:space="preserve">   </w:t>
            </w:r>
            <w:r w:rsidR="00F8238F">
              <w:t>.</w:t>
            </w:r>
            <w:r w:rsidR="003241E2">
              <w:t>243</w:t>
            </w:r>
          </w:p>
        </w:tc>
      </w:tr>
      <w:tr w:rsidR="00F925A1" w14:paraId="319AF2B4" w14:textId="77777777" w:rsidTr="007B664C">
        <w:trPr>
          <w:trHeight w:val="306"/>
        </w:trPr>
        <w:tc>
          <w:tcPr>
            <w:tcW w:w="3214" w:type="dxa"/>
            <w:tcBorders>
              <w:top w:val="nil"/>
              <w:bottom w:val="nil"/>
              <w:right w:val="nil"/>
            </w:tcBorders>
          </w:tcPr>
          <w:p w14:paraId="5867A49B" w14:textId="77777777" w:rsidR="00F925A1" w:rsidRDefault="00F925A1" w:rsidP="003761D3">
            <w:pPr>
              <w:pStyle w:val="NormalWeb"/>
              <w:spacing w:after="0" w:afterAutospacing="0"/>
              <w:rPr>
                <w:b/>
                <w:bCs/>
              </w:rPr>
            </w:pPr>
            <w:r w:rsidRPr="00A26235">
              <w:t>Population density</w:t>
            </w:r>
          </w:p>
        </w:tc>
        <w:tc>
          <w:tcPr>
            <w:tcW w:w="3214" w:type="dxa"/>
            <w:tcBorders>
              <w:top w:val="nil"/>
              <w:left w:val="nil"/>
              <w:bottom w:val="nil"/>
              <w:right w:val="nil"/>
            </w:tcBorders>
          </w:tcPr>
          <w:p w14:paraId="1B22A1A2" w14:textId="6ED30F0D" w:rsidR="00F925A1" w:rsidRPr="00865CF4" w:rsidRDefault="00F03F55" w:rsidP="005D693E">
            <w:pPr>
              <w:pStyle w:val="NormalWeb"/>
              <w:spacing w:after="0" w:afterAutospacing="0"/>
              <w:jc w:val="center"/>
            </w:pPr>
            <w:r>
              <w:t xml:space="preserve"> </w:t>
            </w:r>
            <w:r w:rsidR="00F8238F">
              <w:t>.</w:t>
            </w:r>
            <w:r w:rsidR="003241E2">
              <w:t>155</w:t>
            </w:r>
          </w:p>
        </w:tc>
        <w:tc>
          <w:tcPr>
            <w:tcW w:w="3214" w:type="dxa"/>
            <w:tcBorders>
              <w:top w:val="nil"/>
              <w:left w:val="nil"/>
              <w:bottom w:val="nil"/>
              <w:right w:val="nil"/>
            </w:tcBorders>
          </w:tcPr>
          <w:p w14:paraId="1A9F76BB" w14:textId="74A8E951" w:rsidR="00F925A1" w:rsidRPr="00865CF4" w:rsidRDefault="00F8238F" w:rsidP="005D693E">
            <w:pPr>
              <w:pStyle w:val="NormalWeb"/>
              <w:spacing w:after="0" w:afterAutospacing="0"/>
              <w:jc w:val="center"/>
            </w:pPr>
            <w:r>
              <w:t>[</w:t>
            </w:r>
            <w:r w:rsidR="003241E2">
              <w:t>-.322</w:t>
            </w:r>
            <w:r>
              <w:t xml:space="preserve">, </w:t>
            </w:r>
            <w:r w:rsidR="00A14113">
              <w:t>.</w:t>
            </w:r>
            <w:r w:rsidR="003241E2">
              <w:t>632</w:t>
            </w:r>
            <w:r>
              <w:t>]</w:t>
            </w:r>
          </w:p>
        </w:tc>
        <w:tc>
          <w:tcPr>
            <w:tcW w:w="3214" w:type="dxa"/>
            <w:tcBorders>
              <w:top w:val="nil"/>
              <w:left w:val="nil"/>
              <w:bottom w:val="nil"/>
            </w:tcBorders>
          </w:tcPr>
          <w:p w14:paraId="729AA438" w14:textId="1E18F68A" w:rsidR="00F925A1" w:rsidRPr="00865CF4" w:rsidRDefault="00812A70" w:rsidP="005D693E">
            <w:pPr>
              <w:pStyle w:val="NormalWeb"/>
              <w:spacing w:after="0" w:afterAutospacing="0"/>
              <w:jc w:val="center"/>
            </w:pPr>
            <w:r>
              <w:t xml:space="preserve">   </w:t>
            </w:r>
            <w:r w:rsidR="00F8238F">
              <w:t>.</w:t>
            </w:r>
            <w:r w:rsidR="003241E2">
              <w:t>523</w:t>
            </w:r>
          </w:p>
        </w:tc>
      </w:tr>
      <w:tr w:rsidR="00D6088A" w14:paraId="19C7AA6B" w14:textId="77777777" w:rsidTr="007B664C">
        <w:trPr>
          <w:trHeight w:val="306"/>
        </w:trPr>
        <w:tc>
          <w:tcPr>
            <w:tcW w:w="3214" w:type="dxa"/>
            <w:tcBorders>
              <w:top w:val="nil"/>
              <w:bottom w:val="nil"/>
              <w:right w:val="nil"/>
            </w:tcBorders>
          </w:tcPr>
          <w:p w14:paraId="6C250068" w14:textId="230E119A" w:rsidR="00D6088A" w:rsidRPr="00A26235" w:rsidRDefault="00D6088A" w:rsidP="003761D3">
            <w:pPr>
              <w:pStyle w:val="NormalWeb"/>
              <w:spacing w:after="0" w:afterAutospacing="0"/>
            </w:pPr>
            <w:r>
              <w:t xml:space="preserve">Percent of county population that is </w:t>
            </w:r>
            <w:r w:rsidR="00807939">
              <w:t>incarcerated individuals</w:t>
            </w:r>
          </w:p>
        </w:tc>
        <w:tc>
          <w:tcPr>
            <w:tcW w:w="3214" w:type="dxa"/>
            <w:tcBorders>
              <w:top w:val="nil"/>
              <w:left w:val="nil"/>
              <w:bottom w:val="nil"/>
              <w:right w:val="nil"/>
            </w:tcBorders>
          </w:tcPr>
          <w:p w14:paraId="628D7B02" w14:textId="4DFDA99F" w:rsidR="00D6088A" w:rsidRDefault="00E57FBC" w:rsidP="005D693E">
            <w:pPr>
              <w:pStyle w:val="NormalWeb"/>
              <w:spacing w:after="0" w:afterAutospacing="0"/>
              <w:jc w:val="center"/>
            </w:pPr>
            <w:r>
              <w:t>-.03</w:t>
            </w:r>
            <w:r w:rsidR="003241E2">
              <w:t>7</w:t>
            </w:r>
          </w:p>
        </w:tc>
        <w:tc>
          <w:tcPr>
            <w:tcW w:w="3214" w:type="dxa"/>
            <w:tcBorders>
              <w:top w:val="nil"/>
              <w:left w:val="nil"/>
              <w:bottom w:val="nil"/>
              <w:right w:val="nil"/>
            </w:tcBorders>
          </w:tcPr>
          <w:p w14:paraId="68B4E4D9" w14:textId="53D7622F" w:rsidR="00D6088A" w:rsidRDefault="00E57FBC" w:rsidP="005D693E">
            <w:pPr>
              <w:pStyle w:val="NormalWeb"/>
              <w:spacing w:after="0" w:afterAutospacing="0"/>
              <w:jc w:val="center"/>
            </w:pPr>
            <w:r>
              <w:t>[-.0</w:t>
            </w:r>
            <w:r w:rsidR="003241E2">
              <w:t>88,</w:t>
            </w:r>
            <w:r>
              <w:t xml:space="preserve"> .01</w:t>
            </w:r>
            <w:r w:rsidR="003241E2">
              <w:t>5</w:t>
            </w:r>
            <w:r>
              <w:t>]</w:t>
            </w:r>
          </w:p>
        </w:tc>
        <w:tc>
          <w:tcPr>
            <w:tcW w:w="3214" w:type="dxa"/>
            <w:tcBorders>
              <w:top w:val="nil"/>
              <w:left w:val="nil"/>
              <w:bottom w:val="nil"/>
            </w:tcBorders>
          </w:tcPr>
          <w:p w14:paraId="7EBC52F6" w14:textId="1B28FA93" w:rsidR="00D6088A" w:rsidRDefault="00812A70" w:rsidP="005D693E">
            <w:pPr>
              <w:pStyle w:val="NormalWeb"/>
              <w:spacing w:after="0" w:afterAutospacing="0"/>
              <w:jc w:val="center"/>
            </w:pPr>
            <w:r>
              <w:t xml:space="preserve">   </w:t>
            </w:r>
            <w:r w:rsidR="00E57FBC">
              <w:t>.16</w:t>
            </w:r>
            <w:r w:rsidR="003241E2">
              <w:t>1</w:t>
            </w:r>
          </w:p>
        </w:tc>
      </w:tr>
      <w:tr w:rsidR="007419B3" w14:paraId="3DE92884" w14:textId="77777777" w:rsidTr="007B664C">
        <w:trPr>
          <w:trHeight w:val="306"/>
        </w:trPr>
        <w:tc>
          <w:tcPr>
            <w:tcW w:w="3214" w:type="dxa"/>
            <w:tcBorders>
              <w:top w:val="nil"/>
              <w:bottom w:val="single" w:sz="4" w:space="0" w:color="auto"/>
              <w:right w:val="nil"/>
            </w:tcBorders>
          </w:tcPr>
          <w:p w14:paraId="193DA7C5" w14:textId="7B1D44FA" w:rsidR="007419B3" w:rsidRPr="00A26235" w:rsidRDefault="007419B3" w:rsidP="003761D3">
            <w:pPr>
              <w:pStyle w:val="NormalWeb"/>
              <w:spacing w:after="0" w:afterAutospacing="0"/>
            </w:pPr>
            <w:r>
              <w:t xml:space="preserve">Percent </w:t>
            </w:r>
            <w:r w:rsidR="003A1559">
              <w:t xml:space="preserve">non-Hispanic </w:t>
            </w:r>
            <w:r w:rsidR="000040A8">
              <w:t>W</w:t>
            </w:r>
            <w:r>
              <w:t>hite</w:t>
            </w:r>
          </w:p>
        </w:tc>
        <w:tc>
          <w:tcPr>
            <w:tcW w:w="3214" w:type="dxa"/>
            <w:tcBorders>
              <w:top w:val="nil"/>
              <w:left w:val="nil"/>
              <w:bottom w:val="single" w:sz="4" w:space="0" w:color="auto"/>
              <w:right w:val="nil"/>
            </w:tcBorders>
          </w:tcPr>
          <w:p w14:paraId="6D59EA42" w14:textId="6D427EDA" w:rsidR="007419B3" w:rsidRDefault="00A14113" w:rsidP="005D693E">
            <w:pPr>
              <w:pStyle w:val="NormalWeb"/>
              <w:spacing w:after="0" w:afterAutospacing="0"/>
              <w:jc w:val="center"/>
            </w:pPr>
            <w:r>
              <w:t>-</w:t>
            </w:r>
            <w:r w:rsidR="006C2C5F">
              <w:t>.</w:t>
            </w:r>
            <w:r>
              <w:t>0</w:t>
            </w:r>
            <w:r w:rsidR="003241E2">
              <w:t>12</w:t>
            </w:r>
          </w:p>
        </w:tc>
        <w:tc>
          <w:tcPr>
            <w:tcW w:w="3214" w:type="dxa"/>
            <w:tcBorders>
              <w:top w:val="nil"/>
              <w:left w:val="nil"/>
              <w:bottom w:val="single" w:sz="4" w:space="0" w:color="auto"/>
              <w:right w:val="nil"/>
            </w:tcBorders>
          </w:tcPr>
          <w:p w14:paraId="2D7CE0EF" w14:textId="2E88067C" w:rsidR="007419B3" w:rsidRDefault="00812A70" w:rsidP="005D693E">
            <w:pPr>
              <w:pStyle w:val="NormalWeb"/>
              <w:spacing w:after="0" w:afterAutospacing="0"/>
              <w:jc w:val="center"/>
            </w:pPr>
            <w:r>
              <w:t xml:space="preserve"> </w:t>
            </w:r>
            <w:r w:rsidR="005D4C26">
              <w:t>[</w:t>
            </w:r>
            <w:r w:rsidR="00A14113">
              <w:t>-.0</w:t>
            </w:r>
            <w:r w:rsidR="003241E2">
              <w:t>20</w:t>
            </w:r>
            <w:r w:rsidR="005D4C26">
              <w:t>,</w:t>
            </w:r>
            <w:r w:rsidR="00A14113">
              <w:t xml:space="preserve"> </w:t>
            </w:r>
            <w:r w:rsidR="0045497D">
              <w:t>-</w:t>
            </w:r>
            <w:r w:rsidR="00A14113">
              <w:t>.00</w:t>
            </w:r>
            <w:r w:rsidR="003241E2">
              <w:t>4</w:t>
            </w:r>
            <w:r w:rsidR="00A14113">
              <w:t>]</w:t>
            </w:r>
          </w:p>
        </w:tc>
        <w:tc>
          <w:tcPr>
            <w:tcW w:w="3214" w:type="dxa"/>
            <w:tcBorders>
              <w:top w:val="nil"/>
              <w:left w:val="nil"/>
              <w:bottom w:val="single" w:sz="4" w:space="0" w:color="auto"/>
            </w:tcBorders>
          </w:tcPr>
          <w:p w14:paraId="2ACE0D83" w14:textId="5CB8AA84" w:rsidR="007419B3" w:rsidRDefault="00812A70" w:rsidP="005D693E">
            <w:pPr>
              <w:pStyle w:val="NormalWeb"/>
              <w:spacing w:after="0" w:afterAutospacing="0"/>
              <w:jc w:val="center"/>
            </w:pPr>
            <w:r>
              <w:t xml:space="preserve">   </w:t>
            </w:r>
            <w:r w:rsidR="00A14113">
              <w:t>.</w:t>
            </w:r>
            <w:r w:rsidR="003241E2">
              <w:t>002</w:t>
            </w:r>
          </w:p>
        </w:tc>
      </w:tr>
    </w:tbl>
    <w:p w14:paraId="6C51895B" w14:textId="41507FC5" w:rsidR="00BE6E6D" w:rsidRPr="00BE6E6D" w:rsidRDefault="00BE6E6D" w:rsidP="00BE6E6D">
      <w:pPr>
        <w:pStyle w:val="NormalWeb"/>
        <w:spacing w:before="0" w:beforeAutospacing="0" w:after="0" w:afterAutospacing="0"/>
      </w:pPr>
      <w:r>
        <w:t xml:space="preserve">Note: </w:t>
      </w:r>
      <w:r w:rsidRPr="00BE6E6D">
        <w:rPr>
          <w:iCs/>
          <w:color w:val="000000"/>
        </w:rPr>
        <w:t>R</w:t>
      </w:r>
      <w:r w:rsidRPr="00BE6E6D">
        <w:rPr>
          <w:iCs/>
          <w:color w:val="000000"/>
          <w:vertAlign w:val="superscript"/>
        </w:rPr>
        <w:t xml:space="preserve">2 </w:t>
      </w:r>
      <w:r w:rsidRPr="00BE6E6D">
        <w:rPr>
          <w:iCs/>
          <w:color w:val="000000"/>
        </w:rPr>
        <w:t>= .260, Root MSE = 1.161</w:t>
      </w:r>
    </w:p>
    <w:p w14:paraId="5113FC11" w14:textId="77777777" w:rsidR="00314B9A" w:rsidRDefault="00314B9A" w:rsidP="006A0E2E">
      <w:pPr>
        <w:pStyle w:val="NormalWeb"/>
        <w:spacing w:after="60" w:afterAutospacing="0"/>
      </w:pPr>
    </w:p>
    <w:p w14:paraId="27A2E853" w14:textId="77777777" w:rsidR="00314B9A" w:rsidRDefault="00314B9A" w:rsidP="006A0E2E">
      <w:pPr>
        <w:pStyle w:val="NormalWeb"/>
        <w:spacing w:after="60" w:afterAutospacing="0"/>
      </w:pPr>
    </w:p>
    <w:p w14:paraId="2CB119C1" w14:textId="77777777" w:rsidR="00314B9A" w:rsidRDefault="00314B9A" w:rsidP="006A0E2E">
      <w:pPr>
        <w:pStyle w:val="NormalWeb"/>
        <w:spacing w:after="60" w:afterAutospacing="0"/>
      </w:pPr>
    </w:p>
    <w:p w14:paraId="277FD272" w14:textId="77777777" w:rsidR="00314B9A" w:rsidRDefault="00314B9A" w:rsidP="006A0E2E">
      <w:pPr>
        <w:pStyle w:val="NormalWeb"/>
        <w:spacing w:after="60" w:afterAutospacing="0"/>
      </w:pPr>
    </w:p>
    <w:p w14:paraId="75F0231E" w14:textId="77777777" w:rsidR="00314B9A" w:rsidRDefault="00314B9A" w:rsidP="006A0E2E">
      <w:pPr>
        <w:pStyle w:val="NormalWeb"/>
        <w:spacing w:after="60" w:afterAutospacing="0"/>
      </w:pPr>
    </w:p>
    <w:p w14:paraId="09CAD3A5" w14:textId="77777777" w:rsidR="00314B9A" w:rsidRDefault="00314B9A" w:rsidP="006A0E2E">
      <w:pPr>
        <w:pStyle w:val="NormalWeb"/>
        <w:spacing w:after="60" w:afterAutospacing="0"/>
      </w:pPr>
    </w:p>
    <w:p w14:paraId="603AC66E" w14:textId="77777777" w:rsidR="00314B9A" w:rsidRDefault="00314B9A" w:rsidP="006A0E2E">
      <w:pPr>
        <w:pStyle w:val="NormalWeb"/>
        <w:spacing w:after="60" w:afterAutospacing="0"/>
      </w:pPr>
    </w:p>
    <w:p w14:paraId="7EE11D51" w14:textId="77777777" w:rsidR="00314B9A" w:rsidRDefault="00314B9A" w:rsidP="006A0E2E">
      <w:pPr>
        <w:pStyle w:val="NormalWeb"/>
        <w:spacing w:after="60" w:afterAutospacing="0"/>
      </w:pPr>
    </w:p>
    <w:p w14:paraId="23F77EEC" w14:textId="77777777" w:rsidR="00314B9A" w:rsidRDefault="00314B9A" w:rsidP="006A0E2E">
      <w:pPr>
        <w:pStyle w:val="NormalWeb"/>
        <w:spacing w:after="60" w:afterAutospacing="0"/>
      </w:pPr>
    </w:p>
    <w:p w14:paraId="18AD7EA8" w14:textId="77777777" w:rsidR="00314B9A" w:rsidRDefault="00314B9A" w:rsidP="006A0E2E">
      <w:pPr>
        <w:pStyle w:val="NormalWeb"/>
        <w:spacing w:after="60" w:afterAutospacing="0"/>
      </w:pPr>
    </w:p>
    <w:p w14:paraId="68EB438F" w14:textId="386A0DB1" w:rsidR="005E1733" w:rsidRPr="00314B9A" w:rsidRDefault="006256F8" w:rsidP="006A0E2E">
      <w:pPr>
        <w:pStyle w:val="NormalWeb"/>
        <w:spacing w:after="60" w:afterAutospacing="0"/>
      </w:pPr>
      <w:r w:rsidRPr="00314B9A">
        <w:lastRenderedPageBreak/>
        <w:t xml:space="preserve">Table </w:t>
      </w:r>
      <w:r>
        <w:t>3</w:t>
      </w:r>
      <w:r w:rsidRPr="00314B9A">
        <w:t>: OLS regression showing PM</w:t>
      </w:r>
      <w:r w:rsidRPr="00314B9A">
        <w:rPr>
          <w:vertAlign w:val="subscript"/>
        </w:rPr>
        <w:t>2.5</w:t>
      </w:r>
      <w:r w:rsidRPr="00314B9A">
        <w:t xml:space="preserve"> concentrations in counties with TDCJ </w:t>
      </w:r>
      <w:r>
        <w:t>prisons</w:t>
      </w:r>
      <w:r w:rsidRPr="00314B9A">
        <w:t xml:space="preserve"> relative to in counties without TDCJ </w:t>
      </w:r>
      <w:r w:rsidR="00C95372">
        <w:t>prisons</w:t>
      </w:r>
      <w:r w:rsidRPr="00314B9A">
        <w:t>.</w:t>
      </w:r>
    </w:p>
    <w:tbl>
      <w:tblPr>
        <w:tblStyle w:val="TableGrid"/>
        <w:tblW w:w="12856" w:type="dxa"/>
        <w:tblLook w:val="04A0" w:firstRow="1" w:lastRow="0" w:firstColumn="1" w:lastColumn="0" w:noHBand="0" w:noVBand="1"/>
      </w:tblPr>
      <w:tblGrid>
        <w:gridCol w:w="3214"/>
        <w:gridCol w:w="3214"/>
        <w:gridCol w:w="3214"/>
        <w:gridCol w:w="3214"/>
      </w:tblGrid>
      <w:tr w:rsidR="005E1733" w14:paraId="7830231B" w14:textId="77777777" w:rsidTr="00381ABC">
        <w:trPr>
          <w:trHeight w:val="296"/>
        </w:trPr>
        <w:tc>
          <w:tcPr>
            <w:tcW w:w="3214" w:type="dxa"/>
            <w:tcBorders>
              <w:bottom w:val="single" w:sz="4" w:space="0" w:color="auto"/>
              <w:right w:val="nil"/>
            </w:tcBorders>
          </w:tcPr>
          <w:p w14:paraId="3F5A7CB7" w14:textId="77777777" w:rsidR="005E1733" w:rsidRDefault="005E1733" w:rsidP="00381ABC">
            <w:pPr>
              <w:pStyle w:val="NormalWeb"/>
              <w:rPr>
                <w:b/>
                <w:bCs/>
              </w:rPr>
            </w:pPr>
          </w:p>
        </w:tc>
        <w:tc>
          <w:tcPr>
            <w:tcW w:w="3214" w:type="dxa"/>
            <w:tcBorders>
              <w:left w:val="nil"/>
              <w:bottom w:val="single" w:sz="4" w:space="0" w:color="auto"/>
              <w:right w:val="nil"/>
            </w:tcBorders>
          </w:tcPr>
          <w:p w14:paraId="0D6F44FC" w14:textId="0AD3B752" w:rsidR="005E1733" w:rsidRPr="00F958C0" w:rsidRDefault="00736D05" w:rsidP="00381ABC">
            <w:pPr>
              <w:pStyle w:val="NormalWeb"/>
              <w:spacing w:before="0" w:beforeAutospacing="0" w:after="0" w:afterAutospacing="0"/>
              <w:jc w:val="center"/>
            </w:pPr>
            <w:r>
              <w:rPr>
                <w:i/>
                <w:color w:val="000000"/>
              </w:rPr>
              <w:t>b</w:t>
            </w:r>
          </w:p>
        </w:tc>
        <w:tc>
          <w:tcPr>
            <w:tcW w:w="3214" w:type="dxa"/>
            <w:tcBorders>
              <w:left w:val="nil"/>
              <w:right w:val="nil"/>
            </w:tcBorders>
          </w:tcPr>
          <w:p w14:paraId="00B63C7C" w14:textId="77777777" w:rsidR="005E1733" w:rsidRPr="00F958C0" w:rsidRDefault="005E1733" w:rsidP="00381ABC">
            <w:pPr>
              <w:pStyle w:val="NormalWeb"/>
              <w:spacing w:before="0" w:beforeAutospacing="0" w:after="0" w:afterAutospacing="0"/>
              <w:jc w:val="center"/>
            </w:pPr>
            <w:r w:rsidRPr="00F454B3">
              <w:rPr>
                <w:color w:val="000000"/>
              </w:rPr>
              <w:t>95% CI</w:t>
            </w:r>
          </w:p>
        </w:tc>
        <w:tc>
          <w:tcPr>
            <w:tcW w:w="3214" w:type="dxa"/>
            <w:tcBorders>
              <w:left w:val="nil"/>
            </w:tcBorders>
          </w:tcPr>
          <w:p w14:paraId="6A3B18B7" w14:textId="73FFAEE2" w:rsidR="005E1733" w:rsidRPr="00F958C0" w:rsidRDefault="0028572E" w:rsidP="00381ABC">
            <w:pPr>
              <w:pStyle w:val="NormalWeb"/>
              <w:spacing w:before="0" w:beforeAutospacing="0" w:after="0" w:afterAutospacing="0"/>
              <w:jc w:val="center"/>
            </w:pPr>
            <w:r>
              <w:t>p-value</w:t>
            </w:r>
          </w:p>
        </w:tc>
      </w:tr>
      <w:tr w:rsidR="005E1733" w14:paraId="672C0995" w14:textId="77777777" w:rsidTr="00381ABC">
        <w:trPr>
          <w:trHeight w:val="286"/>
        </w:trPr>
        <w:tc>
          <w:tcPr>
            <w:tcW w:w="3214" w:type="dxa"/>
            <w:tcBorders>
              <w:top w:val="single" w:sz="4" w:space="0" w:color="auto"/>
              <w:bottom w:val="nil"/>
              <w:right w:val="nil"/>
            </w:tcBorders>
          </w:tcPr>
          <w:p w14:paraId="69BFCD6C" w14:textId="579C0D9A" w:rsidR="005E1733" w:rsidRPr="00AB083F" w:rsidRDefault="005E1733" w:rsidP="00381ABC">
            <w:pPr>
              <w:pStyle w:val="NormalWeb"/>
            </w:pPr>
            <w:r>
              <w:t xml:space="preserve">County has a TDCJ </w:t>
            </w:r>
            <w:r w:rsidR="006419B6">
              <w:t>prison</w:t>
            </w:r>
          </w:p>
        </w:tc>
        <w:tc>
          <w:tcPr>
            <w:tcW w:w="3214" w:type="dxa"/>
            <w:tcBorders>
              <w:left w:val="nil"/>
              <w:bottom w:val="nil"/>
              <w:right w:val="nil"/>
            </w:tcBorders>
          </w:tcPr>
          <w:p w14:paraId="7E38A9EF" w14:textId="77CC7E14" w:rsidR="005E1733" w:rsidRPr="0032193C" w:rsidRDefault="00812A70" w:rsidP="005D693E">
            <w:pPr>
              <w:pStyle w:val="NormalWeb"/>
              <w:jc w:val="center"/>
            </w:pPr>
            <w:r>
              <w:t xml:space="preserve"> </w:t>
            </w:r>
            <w:r w:rsidR="00D436E3">
              <w:t>.</w:t>
            </w:r>
            <w:r w:rsidR="003241E2">
              <w:t>748</w:t>
            </w:r>
          </w:p>
        </w:tc>
        <w:tc>
          <w:tcPr>
            <w:tcW w:w="3214" w:type="dxa"/>
            <w:tcBorders>
              <w:left w:val="nil"/>
              <w:bottom w:val="nil"/>
              <w:right w:val="nil"/>
            </w:tcBorders>
          </w:tcPr>
          <w:p w14:paraId="5EDC1FC5" w14:textId="3339555D" w:rsidR="005E1733" w:rsidRPr="0032193C" w:rsidRDefault="00812A70" w:rsidP="005D693E">
            <w:pPr>
              <w:pStyle w:val="NormalWeb"/>
              <w:jc w:val="center"/>
            </w:pPr>
            <w:r>
              <w:t xml:space="preserve">   </w:t>
            </w:r>
            <w:r w:rsidR="005E1733" w:rsidRPr="00B71DAC">
              <w:t>[</w:t>
            </w:r>
            <w:r w:rsidR="006B62F8">
              <w:t>.</w:t>
            </w:r>
            <w:r w:rsidR="003241E2">
              <w:t>190</w:t>
            </w:r>
            <w:r w:rsidR="005E1733" w:rsidRPr="00B71DAC">
              <w:t>,</w:t>
            </w:r>
            <w:r w:rsidR="005E1733">
              <w:t xml:space="preserve"> </w:t>
            </w:r>
            <w:r w:rsidR="00E1089E">
              <w:t>1</w:t>
            </w:r>
            <w:r w:rsidR="00D436E3">
              <w:t>.</w:t>
            </w:r>
            <w:r w:rsidR="003241E2">
              <w:t>306</w:t>
            </w:r>
            <w:r w:rsidR="005E1733" w:rsidRPr="00B71DAC">
              <w:t>]</w:t>
            </w:r>
          </w:p>
        </w:tc>
        <w:tc>
          <w:tcPr>
            <w:tcW w:w="3214" w:type="dxa"/>
            <w:tcBorders>
              <w:left w:val="nil"/>
              <w:bottom w:val="nil"/>
            </w:tcBorders>
          </w:tcPr>
          <w:p w14:paraId="3DBBC2C6" w14:textId="1C50D9D8" w:rsidR="005E1733" w:rsidRPr="0032193C" w:rsidRDefault="00812A70" w:rsidP="005D693E">
            <w:pPr>
              <w:pStyle w:val="NormalWeb"/>
              <w:jc w:val="center"/>
            </w:pPr>
            <w:r>
              <w:t xml:space="preserve">   </w:t>
            </w:r>
            <w:r w:rsidR="005E1733">
              <w:t>.</w:t>
            </w:r>
            <w:r w:rsidR="006B62F8">
              <w:t>0</w:t>
            </w:r>
            <w:r w:rsidR="00E1089E">
              <w:t>0</w:t>
            </w:r>
            <w:r w:rsidR="003241E2">
              <w:t>9</w:t>
            </w:r>
          </w:p>
        </w:tc>
      </w:tr>
      <w:tr w:rsidR="006E29DE" w14:paraId="723FFE0E" w14:textId="77777777" w:rsidTr="00381ABC">
        <w:trPr>
          <w:trHeight w:val="272"/>
        </w:trPr>
        <w:tc>
          <w:tcPr>
            <w:tcW w:w="3214" w:type="dxa"/>
            <w:tcBorders>
              <w:top w:val="nil"/>
              <w:bottom w:val="nil"/>
              <w:right w:val="nil"/>
            </w:tcBorders>
          </w:tcPr>
          <w:p w14:paraId="62A3D8E2" w14:textId="599AA7AD" w:rsidR="006E29DE" w:rsidRPr="00A26235" w:rsidRDefault="006E29DE" w:rsidP="00381ABC">
            <w:pPr>
              <w:pStyle w:val="NormalWeb"/>
            </w:pPr>
            <w:r>
              <w:t>Land area</w:t>
            </w:r>
          </w:p>
        </w:tc>
        <w:tc>
          <w:tcPr>
            <w:tcW w:w="3214" w:type="dxa"/>
            <w:tcBorders>
              <w:top w:val="nil"/>
              <w:left w:val="nil"/>
              <w:bottom w:val="nil"/>
              <w:right w:val="nil"/>
            </w:tcBorders>
          </w:tcPr>
          <w:p w14:paraId="42C44598" w14:textId="0C2B8079" w:rsidR="006E29DE" w:rsidRDefault="003241E2" w:rsidP="005D693E">
            <w:pPr>
              <w:pStyle w:val="NormalWeb"/>
              <w:jc w:val="center"/>
            </w:pPr>
            <w:r>
              <w:t>-.000</w:t>
            </w:r>
          </w:p>
        </w:tc>
        <w:tc>
          <w:tcPr>
            <w:tcW w:w="3214" w:type="dxa"/>
            <w:tcBorders>
              <w:top w:val="nil"/>
              <w:left w:val="nil"/>
              <w:bottom w:val="nil"/>
              <w:right w:val="nil"/>
            </w:tcBorders>
          </w:tcPr>
          <w:p w14:paraId="7EAEBCD8" w14:textId="2F60323C" w:rsidR="006E29DE" w:rsidRDefault="00812A70" w:rsidP="005D693E">
            <w:pPr>
              <w:pStyle w:val="NormalWeb"/>
              <w:jc w:val="center"/>
            </w:pPr>
            <w:r>
              <w:t xml:space="preserve"> </w:t>
            </w:r>
            <w:r w:rsidR="00807939">
              <w:t>[-.001, -.000]</w:t>
            </w:r>
          </w:p>
        </w:tc>
        <w:tc>
          <w:tcPr>
            <w:tcW w:w="3214" w:type="dxa"/>
            <w:tcBorders>
              <w:top w:val="nil"/>
              <w:left w:val="nil"/>
              <w:bottom w:val="nil"/>
            </w:tcBorders>
          </w:tcPr>
          <w:p w14:paraId="108FA880" w14:textId="631A05E7" w:rsidR="006E29DE" w:rsidRPr="00B71DAC" w:rsidRDefault="003241E2" w:rsidP="005D693E">
            <w:pPr>
              <w:pStyle w:val="NormalWeb"/>
              <w:jc w:val="center"/>
            </w:pPr>
            <w:r>
              <w:t>&lt; .001</w:t>
            </w:r>
          </w:p>
        </w:tc>
      </w:tr>
      <w:tr w:rsidR="006E29DE" w14:paraId="2842381C" w14:textId="77777777" w:rsidTr="00381ABC">
        <w:trPr>
          <w:trHeight w:val="272"/>
        </w:trPr>
        <w:tc>
          <w:tcPr>
            <w:tcW w:w="3214" w:type="dxa"/>
            <w:tcBorders>
              <w:top w:val="nil"/>
              <w:bottom w:val="nil"/>
              <w:right w:val="nil"/>
            </w:tcBorders>
          </w:tcPr>
          <w:p w14:paraId="1A1A0ECB" w14:textId="1D1F6F4B" w:rsidR="006E29DE" w:rsidRPr="00A26235" w:rsidRDefault="006E29DE" w:rsidP="00381ABC">
            <w:pPr>
              <w:pStyle w:val="NormalWeb"/>
            </w:pPr>
            <w:r>
              <w:t>Percent industry employees</w:t>
            </w:r>
          </w:p>
        </w:tc>
        <w:tc>
          <w:tcPr>
            <w:tcW w:w="3214" w:type="dxa"/>
            <w:tcBorders>
              <w:top w:val="nil"/>
              <w:left w:val="nil"/>
              <w:bottom w:val="nil"/>
              <w:right w:val="nil"/>
            </w:tcBorders>
          </w:tcPr>
          <w:p w14:paraId="74B63332" w14:textId="03ECB8C2" w:rsidR="006E29DE" w:rsidRDefault="003241E2" w:rsidP="005D693E">
            <w:pPr>
              <w:pStyle w:val="NormalWeb"/>
              <w:jc w:val="center"/>
            </w:pPr>
            <w:r>
              <w:t>-.053</w:t>
            </w:r>
          </w:p>
        </w:tc>
        <w:tc>
          <w:tcPr>
            <w:tcW w:w="3214" w:type="dxa"/>
            <w:tcBorders>
              <w:top w:val="nil"/>
              <w:left w:val="nil"/>
              <w:bottom w:val="nil"/>
              <w:right w:val="nil"/>
            </w:tcBorders>
          </w:tcPr>
          <w:p w14:paraId="0CD700E0" w14:textId="406CF783" w:rsidR="006E29DE" w:rsidRDefault="00812A70" w:rsidP="005D693E">
            <w:pPr>
              <w:pStyle w:val="NormalWeb"/>
              <w:jc w:val="center"/>
            </w:pPr>
            <w:r>
              <w:t xml:space="preserve"> </w:t>
            </w:r>
            <w:r w:rsidR="00807939">
              <w:t>[-.073, -.032]</w:t>
            </w:r>
          </w:p>
        </w:tc>
        <w:tc>
          <w:tcPr>
            <w:tcW w:w="3214" w:type="dxa"/>
            <w:tcBorders>
              <w:top w:val="nil"/>
              <w:left w:val="nil"/>
              <w:bottom w:val="nil"/>
            </w:tcBorders>
          </w:tcPr>
          <w:p w14:paraId="2F4940A8" w14:textId="78615651" w:rsidR="006E29DE" w:rsidRPr="00B71DAC" w:rsidRDefault="003241E2" w:rsidP="005D693E">
            <w:pPr>
              <w:pStyle w:val="NormalWeb"/>
              <w:jc w:val="center"/>
            </w:pPr>
            <w:r>
              <w:t>&lt; .001</w:t>
            </w:r>
          </w:p>
        </w:tc>
      </w:tr>
      <w:tr w:rsidR="005E1733" w14:paraId="1A298713" w14:textId="77777777" w:rsidTr="00381ABC">
        <w:trPr>
          <w:trHeight w:val="272"/>
        </w:trPr>
        <w:tc>
          <w:tcPr>
            <w:tcW w:w="3214" w:type="dxa"/>
            <w:tcBorders>
              <w:top w:val="nil"/>
              <w:bottom w:val="nil"/>
              <w:right w:val="nil"/>
            </w:tcBorders>
          </w:tcPr>
          <w:p w14:paraId="1F78894D" w14:textId="77777777" w:rsidR="005E1733" w:rsidRPr="00A26235" w:rsidRDefault="005E1733" w:rsidP="00381ABC">
            <w:pPr>
              <w:pStyle w:val="NormalWeb"/>
            </w:pPr>
            <w:r w:rsidRPr="00A26235">
              <w:t>Median household income</w:t>
            </w:r>
          </w:p>
        </w:tc>
        <w:tc>
          <w:tcPr>
            <w:tcW w:w="3214" w:type="dxa"/>
            <w:tcBorders>
              <w:top w:val="nil"/>
              <w:left w:val="nil"/>
              <w:bottom w:val="nil"/>
              <w:right w:val="nil"/>
            </w:tcBorders>
          </w:tcPr>
          <w:p w14:paraId="6E37FF39" w14:textId="7B0DB056" w:rsidR="005E1733" w:rsidRPr="00865CF4" w:rsidRDefault="00812A70" w:rsidP="005D693E">
            <w:pPr>
              <w:pStyle w:val="NormalWeb"/>
              <w:jc w:val="center"/>
            </w:pPr>
            <w:r>
              <w:t xml:space="preserve"> </w:t>
            </w:r>
            <w:r w:rsidR="00D436E3">
              <w:t>.00</w:t>
            </w:r>
            <w:r w:rsidR="003241E2">
              <w:t>5</w:t>
            </w:r>
          </w:p>
        </w:tc>
        <w:tc>
          <w:tcPr>
            <w:tcW w:w="3214" w:type="dxa"/>
            <w:tcBorders>
              <w:top w:val="nil"/>
              <w:left w:val="nil"/>
              <w:bottom w:val="nil"/>
              <w:right w:val="nil"/>
            </w:tcBorders>
          </w:tcPr>
          <w:p w14:paraId="75472D02" w14:textId="2BD16A86" w:rsidR="005E1733" w:rsidRPr="00865CF4" w:rsidRDefault="005E1733" w:rsidP="005D693E">
            <w:pPr>
              <w:pStyle w:val="NormalWeb"/>
              <w:jc w:val="center"/>
            </w:pPr>
            <w:r>
              <w:t>[</w:t>
            </w:r>
            <w:r w:rsidR="00D436E3">
              <w:t>-.</w:t>
            </w:r>
            <w:r w:rsidR="00807939">
              <w:t>006</w:t>
            </w:r>
            <w:r w:rsidR="00E05973">
              <w:t>, .01</w:t>
            </w:r>
            <w:r w:rsidR="00807939">
              <w:t>7</w:t>
            </w:r>
            <w:r>
              <w:t>]</w:t>
            </w:r>
          </w:p>
        </w:tc>
        <w:tc>
          <w:tcPr>
            <w:tcW w:w="3214" w:type="dxa"/>
            <w:tcBorders>
              <w:top w:val="nil"/>
              <w:left w:val="nil"/>
              <w:bottom w:val="nil"/>
            </w:tcBorders>
          </w:tcPr>
          <w:p w14:paraId="469696F1" w14:textId="1FE0A9B6" w:rsidR="005E1733" w:rsidRPr="00865CF4" w:rsidRDefault="00812A70" w:rsidP="005D693E">
            <w:pPr>
              <w:pStyle w:val="NormalWeb"/>
              <w:jc w:val="center"/>
            </w:pPr>
            <w:r>
              <w:t xml:space="preserve">   </w:t>
            </w:r>
            <w:r w:rsidR="005E1733" w:rsidRPr="00B71DAC">
              <w:t>.</w:t>
            </w:r>
            <w:r w:rsidR="00807939">
              <w:t>371</w:t>
            </w:r>
          </w:p>
        </w:tc>
      </w:tr>
      <w:tr w:rsidR="005E1733" w14:paraId="7430C080" w14:textId="77777777" w:rsidTr="007B664C">
        <w:trPr>
          <w:trHeight w:val="306"/>
        </w:trPr>
        <w:tc>
          <w:tcPr>
            <w:tcW w:w="3214" w:type="dxa"/>
            <w:tcBorders>
              <w:top w:val="nil"/>
              <w:bottom w:val="nil"/>
              <w:right w:val="nil"/>
            </w:tcBorders>
          </w:tcPr>
          <w:p w14:paraId="462FB07B" w14:textId="77777777" w:rsidR="005E1733" w:rsidRDefault="005E1733" w:rsidP="00381ABC">
            <w:pPr>
              <w:pStyle w:val="NormalWeb"/>
              <w:rPr>
                <w:b/>
                <w:bCs/>
              </w:rPr>
            </w:pPr>
            <w:r w:rsidRPr="00A26235">
              <w:t>Population density</w:t>
            </w:r>
          </w:p>
        </w:tc>
        <w:tc>
          <w:tcPr>
            <w:tcW w:w="3214" w:type="dxa"/>
            <w:tcBorders>
              <w:top w:val="nil"/>
              <w:left w:val="nil"/>
              <w:bottom w:val="nil"/>
              <w:right w:val="nil"/>
            </w:tcBorders>
          </w:tcPr>
          <w:p w14:paraId="2E922A96" w14:textId="5732C2CF" w:rsidR="005E1733" w:rsidRPr="00865CF4" w:rsidRDefault="00812A70" w:rsidP="005D693E">
            <w:pPr>
              <w:pStyle w:val="NormalWeb"/>
              <w:jc w:val="center"/>
            </w:pPr>
            <w:r>
              <w:t xml:space="preserve"> </w:t>
            </w:r>
            <w:r w:rsidR="00D436E3">
              <w:t>.</w:t>
            </w:r>
            <w:r w:rsidR="003241E2">
              <w:t>340</w:t>
            </w:r>
          </w:p>
        </w:tc>
        <w:tc>
          <w:tcPr>
            <w:tcW w:w="3214" w:type="dxa"/>
            <w:tcBorders>
              <w:top w:val="nil"/>
              <w:left w:val="nil"/>
              <w:bottom w:val="nil"/>
              <w:right w:val="nil"/>
            </w:tcBorders>
          </w:tcPr>
          <w:p w14:paraId="38789668" w14:textId="1A3987C8" w:rsidR="005E1733" w:rsidRPr="00865CF4" w:rsidRDefault="00653606" w:rsidP="005D693E">
            <w:pPr>
              <w:pStyle w:val="NormalWeb"/>
              <w:jc w:val="center"/>
            </w:pPr>
            <w:r>
              <w:t>[</w:t>
            </w:r>
            <w:r w:rsidR="00807939">
              <w:t>-</w:t>
            </w:r>
            <w:r w:rsidR="00D436E3">
              <w:t>.</w:t>
            </w:r>
            <w:r w:rsidR="00807939">
              <w:t>163</w:t>
            </w:r>
            <w:r w:rsidR="00D436E3">
              <w:t>,</w:t>
            </w:r>
            <w:r>
              <w:t xml:space="preserve"> </w:t>
            </w:r>
            <w:r w:rsidR="00807939">
              <w:t>.843</w:t>
            </w:r>
            <w:r>
              <w:t>]</w:t>
            </w:r>
          </w:p>
        </w:tc>
        <w:tc>
          <w:tcPr>
            <w:tcW w:w="3214" w:type="dxa"/>
            <w:tcBorders>
              <w:top w:val="nil"/>
              <w:left w:val="nil"/>
              <w:bottom w:val="nil"/>
            </w:tcBorders>
          </w:tcPr>
          <w:p w14:paraId="052EEC6D" w14:textId="40512179" w:rsidR="005E1733" w:rsidRPr="00865CF4" w:rsidRDefault="00812A70" w:rsidP="005D693E">
            <w:pPr>
              <w:pStyle w:val="NormalWeb"/>
              <w:jc w:val="center"/>
            </w:pPr>
            <w:r>
              <w:t xml:space="preserve">   </w:t>
            </w:r>
            <w:r w:rsidR="00807939">
              <w:t>.184</w:t>
            </w:r>
          </w:p>
        </w:tc>
      </w:tr>
      <w:tr w:rsidR="00D6088A" w14:paraId="4C6275CC" w14:textId="77777777" w:rsidTr="00BE54C4">
        <w:trPr>
          <w:trHeight w:val="306"/>
        </w:trPr>
        <w:tc>
          <w:tcPr>
            <w:tcW w:w="3214" w:type="dxa"/>
            <w:tcBorders>
              <w:top w:val="nil"/>
              <w:bottom w:val="nil"/>
              <w:right w:val="nil"/>
            </w:tcBorders>
          </w:tcPr>
          <w:p w14:paraId="5CCDCE5A" w14:textId="3061070B" w:rsidR="00D6088A" w:rsidRPr="00A26235" w:rsidRDefault="00D6088A" w:rsidP="00381ABC">
            <w:pPr>
              <w:pStyle w:val="NormalWeb"/>
            </w:pPr>
            <w:r>
              <w:t xml:space="preserve">Percent of county population that is </w:t>
            </w:r>
            <w:r w:rsidR="00807939">
              <w:t>incarcerated individuals</w:t>
            </w:r>
          </w:p>
        </w:tc>
        <w:tc>
          <w:tcPr>
            <w:tcW w:w="3214" w:type="dxa"/>
            <w:tcBorders>
              <w:top w:val="nil"/>
              <w:left w:val="nil"/>
              <w:bottom w:val="nil"/>
              <w:right w:val="nil"/>
            </w:tcBorders>
          </w:tcPr>
          <w:p w14:paraId="5E72457C" w14:textId="0787D307" w:rsidR="00D6088A" w:rsidRDefault="00E1089E" w:rsidP="005D693E">
            <w:pPr>
              <w:pStyle w:val="NormalWeb"/>
              <w:jc w:val="center"/>
            </w:pPr>
            <w:r>
              <w:t>-.045</w:t>
            </w:r>
          </w:p>
        </w:tc>
        <w:tc>
          <w:tcPr>
            <w:tcW w:w="3214" w:type="dxa"/>
            <w:tcBorders>
              <w:top w:val="nil"/>
              <w:left w:val="nil"/>
              <w:bottom w:val="nil"/>
              <w:right w:val="nil"/>
            </w:tcBorders>
          </w:tcPr>
          <w:p w14:paraId="60E08A60" w14:textId="228BED6E" w:rsidR="00D6088A" w:rsidRDefault="00E1089E" w:rsidP="005D693E">
            <w:pPr>
              <w:pStyle w:val="NormalWeb"/>
              <w:jc w:val="center"/>
            </w:pPr>
            <w:r>
              <w:t>[-.09</w:t>
            </w:r>
            <w:r w:rsidR="00807939">
              <w:t>7</w:t>
            </w:r>
            <w:r>
              <w:t>, .00</w:t>
            </w:r>
            <w:r w:rsidR="00EC6E1D">
              <w:t>7</w:t>
            </w:r>
            <w:r>
              <w:t>]</w:t>
            </w:r>
          </w:p>
        </w:tc>
        <w:tc>
          <w:tcPr>
            <w:tcW w:w="3214" w:type="dxa"/>
            <w:tcBorders>
              <w:top w:val="nil"/>
              <w:left w:val="nil"/>
              <w:bottom w:val="nil"/>
            </w:tcBorders>
          </w:tcPr>
          <w:p w14:paraId="21296709" w14:textId="2D2F103D" w:rsidR="00D6088A" w:rsidRDefault="00812A70" w:rsidP="005D693E">
            <w:pPr>
              <w:pStyle w:val="NormalWeb"/>
              <w:jc w:val="center"/>
            </w:pPr>
            <w:r>
              <w:t xml:space="preserve">   </w:t>
            </w:r>
            <w:r w:rsidR="00E1089E">
              <w:t>.</w:t>
            </w:r>
            <w:r w:rsidR="00807939">
              <w:t>091</w:t>
            </w:r>
          </w:p>
        </w:tc>
      </w:tr>
      <w:tr w:rsidR="005E1733" w14:paraId="4814BA81" w14:textId="77777777" w:rsidTr="00BE54C4">
        <w:trPr>
          <w:trHeight w:val="306"/>
        </w:trPr>
        <w:tc>
          <w:tcPr>
            <w:tcW w:w="3214" w:type="dxa"/>
            <w:tcBorders>
              <w:top w:val="nil"/>
              <w:bottom w:val="single" w:sz="4" w:space="0" w:color="auto"/>
              <w:right w:val="nil"/>
            </w:tcBorders>
          </w:tcPr>
          <w:p w14:paraId="0D55E377" w14:textId="7D919B2D" w:rsidR="005E1733" w:rsidRPr="00A26235" w:rsidRDefault="005E1733" w:rsidP="00381ABC">
            <w:pPr>
              <w:pStyle w:val="NormalWeb"/>
            </w:pPr>
            <w:r>
              <w:t xml:space="preserve">Percent non-Hispanic </w:t>
            </w:r>
            <w:r w:rsidR="000040A8">
              <w:t>W</w:t>
            </w:r>
            <w:r>
              <w:t>hite</w:t>
            </w:r>
          </w:p>
        </w:tc>
        <w:tc>
          <w:tcPr>
            <w:tcW w:w="3214" w:type="dxa"/>
            <w:tcBorders>
              <w:top w:val="nil"/>
              <w:left w:val="nil"/>
              <w:bottom w:val="single" w:sz="4" w:space="0" w:color="auto"/>
              <w:right w:val="nil"/>
            </w:tcBorders>
          </w:tcPr>
          <w:p w14:paraId="3304148A" w14:textId="0611727D" w:rsidR="005E1733" w:rsidRDefault="00D436E3" w:rsidP="005D693E">
            <w:pPr>
              <w:pStyle w:val="NormalWeb"/>
              <w:jc w:val="center"/>
            </w:pPr>
            <w:r>
              <w:t>-.0</w:t>
            </w:r>
            <w:r w:rsidR="003241E2">
              <w:t>12</w:t>
            </w:r>
          </w:p>
        </w:tc>
        <w:tc>
          <w:tcPr>
            <w:tcW w:w="3214" w:type="dxa"/>
            <w:tcBorders>
              <w:top w:val="nil"/>
              <w:left w:val="nil"/>
              <w:bottom w:val="single" w:sz="4" w:space="0" w:color="auto"/>
              <w:right w:val="nil"/>
            </w:tcBorders>
          </w:tcPr>
          <w:p w14:paraId="3E94B079" w14:textId="6557E3D6" w:rsidR="005E1733" w:rsidRDefault="00812A70" w:rsidP="005D693E">
            <w:pPr>
              <w:pStyle w:val="NormalWeb"/>
              <w:jc w:val="center"/>
            </w:pPr>
            <w:r>
              <w:t xml:space="preserve"> </w:t>
            </w:r>
            <w:r w:rsidR="005E1733">
              <w:t>[</w:t>
            </w:r>
            <w:r w:rsidR="00D436E3">
              <w:t>-.0</w:t>
            </w:r>
            <w:r w:rsidR="00EC6E1D">
              <w:t>20</w:t>
            </w:r>
            <w:r w:rsidR="005E1733">
              <w:t xml:space="preserve">, </w:t>
            </w:r>
            <w:r w:rsidR="00EC6E1D">
              <w:t>-</w:t>
            </w:r>
            <w:r w:rsidR="00D436E3">
              <w:t>.00</w:t>
            </w:r>
            <w:r w:rsidR="00EC6E1D">
              <w:t>4</w:t>
            </w:r>
            <w:r w:rsidR="005E1733">
              <w:t>]</w:t>
            </w:r>
          </w:p>
        </w:tc>
        <w:tc>
          <w:tcPr>
            <w:tcW w:w="3214" w:type="dxa"/>
            <w:tcBorders>
              <w:top w:val="nil"/>
              <w:left w:val="nil"/>
              <w:bottom w:val="single" w:sz="4" w:space="0" w:color="auto"/>
            </w:tcBorders>
          </w:tcPr>
          <w:p w14:paraId="6942F097" w14:textId="7FB151D8" w:rsidR="005E1733" w:rsidRDefault="00812A70" w:rsidP="005D693E">
            <w:pPr>
              <w:pStyle w:val="NormalWeb"/>
              <w:jc w:val="center"/>
            </w:pPr>
            <w:r>
              <w:t xml:space="preserve">   </w:t>
            </w:r>
            <w:r w:rsidR="005E1733">
              <w:t>.</w:t>
            </w:r>
            <w:r w:rsidR="00807939">
              <w:t>003</w:t>
            </w:r>
          </w:p>
        </w:tc>
      </w:tr>
    </w:tbl>
    <w:p w14:paraId="7A7514B7" w14:textId="77FA2495" w:rsidR="00314B9A" w:rsidRPr="00BE6E6D" w:rsidRDefault="00BE6E6D" w:rsidP="00BE6E6D">
      <w:pPr>
        <w:pStyle w:val="NormalWeb"/>
        <w:spacing w:before="0" w:beforeAutospacing="0" w:after="0" w:afterAutospacing="0"/>
      </w:pPr>
      <w:r>
        <w:t xml:space="preserve">Note: </w:t>
      </w:r>
      <w:r w:rsidRPr="00BE6E6D">
        <w:rPr>
          <w:iCs/>
          <w:color w:val="000000"/>
        </w:rPr>
        <w:t>R</w:t>
      </w:r>
      <w:r w:rsidRPr="00BE6E6D">
        <w:rPr>
          <w:iCs/>
          <w:color w:val="000000"/>
          <w:vertAlign w:val="superscript"/>
        </w:rPr>
        <w:t xml:space="preserve">2 </w:t>
      </w:r>
      <w:r w:rsidRPr="00BE6E6D">
        <w:rPr>
          <w:iCs/>
          <w:color w:val="000000"/>
        </w:rPr>
        <w:t>= .263, Root MSE = 1.158</w:t>
      </w:r>
    </w:p>
    <w:p w14:paraId="7B9A4F37" w14:textId="77777777" w:rsidR="00314B9A" w:rsidRDefault="00314B9A" w:rsidP="006A0E2E">
      <w:pPr>
        <w:pStyle w:val="NormalWeb"/>
        <w:spacing w:after="60" w:afterAutospacing="0"/>
      </w:pPr>
    </w:p>
    <w:p w14:paraId="027A69D3" w14:textId="77777777" w:rsidR="00314B9A" w:rsidRDefault="00314B9A" w:rsidP="006A0E2E">
      <w:pPr>
        <w:pStyle w:val="NormalWeb"/>
        <w:spacing w:after="60" w:afterAutospacing="0"/>
      </w:pPr>
    </w:p>
    <w:p w14:paraId="37F31369" w14:textId="77777777" w:rsidR="00314B9A" w:rsidRDefault="00314B9A" w:rsidP="006A0E2E">
      <w:pPr>
        <w:pStyle w:val="NormalWeb"/>
        <w:spacing w:after="60" w:afterAutospacing="0"/>
      </w:pPr>
    </w:p>
    <w:p w14:paraId="43F8112F" w14:textId="77777777" w:rsidR="00314B9A" w:rsidRDefault="00314B9A" w:rsidP="006A0E2E">
      <w:pPr>
        <w:pStyle w:val="NormalWeb"/>
        <w:spacing w:after="60" w:afterAutospacing="0"/>
      </w:pPr>
    </w:p>
    <w:p w14:paraId="14AB7CAC" w14:textId="77777777" w:rsidR="00314B9A" w:rsidRDefault="00314B9A" w:rsidP="006A0E2E">
      <w:pPr>
        <w:pStyle w:val="NormalWeb"/>
        <w:spacing w:after="60" w:afterAutospacing="0"/>
      </w:pPr>
    </w:p>
    <w:p w14:paraId="07661F23" w14:textId="77777777" w:rsidR="00314B9A" w:rsidRDefault="00314B9A" w:rsidP="006A0E2E">
      <w:pPr>
        <w:pStyle w:val="NormalWeb"/>
        <w:spacing w:after="60" w:afterAutospacing="0"/>
      </w:pPr>
    </w:p>
    <w:p w14:paraId="70F23AD2" w14:textId="77777777" w:rsidR="00314B9A" w:rsidRDefault="00314B9A" w:rsidP="006A0E2E">
      <w:pPr>
        <w:pStyle w:val="NormalWeb"/>
        <w:spacing w:after="60" w:afterAutospacing="0"/>
      </w:pPr>
    </w:p>
    <w:p w14:paraId="5D0D5609" w14:textId="77777777" w:rsidR="00314B9A" w:rsidRDefault="00314B9A" w:rsidP="006A0E2E">
      <w:pPr>
        <w:pStyle w:val="NormalWeb"/>
        <w:spacing w:after="60" w:afterAutospacing="0"/>
      </w:pPr>
    </w:p>
    <w:p w14:paraId="20348925" w14:textId="77777777" w:rsidR="00314B9A" w:rsidRDefault="00314B9A" w:rsidP="006A0E2E">
      <w:pPr>
        <w:pStyle w:val="NormalWeb"/>
        <w:spacing w:after="60" w:afterAutospacing="0"/>
      </w:pPr>
    </w:p>
    <w:p w14:paraId="6F777F65" w14:textId="77777777" w:rsidR="00314B9A" w:rsidRDefault="00314B9A" w:rsidP="006A0E2E">
      <w:pPr>
        <w:pStyle w:val="NormalWeb"/>
        <w:spacing w:after="60" w:afterAutospacing="0"/>
      </w:pPr>
    </w:p>
    <w:p w14:paraId="3812C711" w14:textId="64E69E5B" w:rsidR="005E1733" w:rsidRPr="00314B9A" w:rsidRDefault="006256F8" w:rsidP="006A0E2E">
      <w:pPr>
        <w:pStyle w:val="NormalWeb"/>
        <w:spacing w:after="60" w:afterAutospacing="0"/>
      </w:pPr>
      <w:r w:rsidRPr="00314B9A">
        <w:lastRenderedPageBreak/>
        <w:t xml:space="preserve">Table </w:t>
      </w:r>
      <w:r>
        <w:t>4</w:t>
      </w:r>
      <w:r w:rsidRPr="00314B9A">
        <w:t>: OLS regression showing PM</w:t>
      </w:r>
      <w:r w:rsidRPr="00314B9A">
        <w:rPr>
          <w:vertAlign w:val="subscript"/>
        </w:rPr>
        <w:t>2.5</w:t>
      </w:r>
      <w:r w:rsidRPr="00314B9A">
        <w:t xml:space="preserve"> concentrations in counties with </w:t>
      </w:r>
      <w:r>
        <w:t>non-</w:t>
      </w:r>
      <w:r w:rsidR="00C95372">
        <w:t>prison</w:t>
      </w:r>
      <w:r>
        <w:t xml:space="preserve"> </w:t>
      </w:r>
      <w:r w:rsidRPr="00314B9A">
        <w:t xml:space="preserve">TDCJ facilities relative to in counties without </w:t>
      </w:r>
      <w:r w:rsidR="00C95372">
        <w:t xml:space="preserve">non-prison </w:t>
      </w:r>
      <w:r w:rsidRPr="00314B9A">
        <w:t>TDCJ facilities.</w:t>
      </w:r>
    </w:p>
    <w:tbl>
      <w:tblPr>
        <w:tblStyle w:val="TableGrid"/>
        <w:tblW w:w="12856" w:type="dxa"/>
        <w:tblLook w:val="04A0" w:firstRow="1" w:lastRow="0" w:firstColumn="1" w:lastColumn="0" w:noHBand="0" w:noVBand="1"/>
      </w:tblPr>
      <w:tblGrid>
        <w:gridCol w:w="3214"/>
        <w:gridCol w:w="3214"/>
        <w:gridCol w:w="3214"/>
        <w:gridCol w:w="3214"/>
      </w:tblGrid>
      <w:tr w:rsidR="005E1733" w14:paraId="444E9A7F" w14:textId="77777777" w:rsidTr="00381ABC">
        <w:trPr>
          <w:trHeight w:val="296"/>
        </w:trPr>
        <w:tc>
          <w:tcPr>
            <w:tcW w:w="3214" w:type="dxa"/>
            <w:tcBorders>
              <w:bottom w:val="single" w:sz="4" w:space="0" w:color="auto"/>
              <w:right w:val="nil"/>
            </w:tcBorders>
          </w:tcPr>
          <w:p w14:paraId="24DCD20D" w14:textId="77777777" w:rsidR="005E1733" w:rsidRDefault="005E1733" w:rsidP="00381ABC">
            <w:pPr>
              <w:pStyle w:val="NormalWeb"/>
              <w:rPr>
                <w:b/>
                <w:bCs/>
              </w:rPr>
            </w:pPr>
          </w:p>
        </w:tc>
        <w:tc>
          <w:tcPr>
            <w:tcW w:w="3214" w:type="dxa"/>
            <w:tcBorders>
              <w:left w:val="nil"/>
              <w:bottom w:val="single" w:sz="4" w:space="0" w:color="auto"/>
              <w:right w:val="nil"/>
            </w:tcBorders>
          </w:tcPr>
          <w:p w14:paraId="4672F84A" w14:textId="512EC6CF" w:rsidR="005E1733" w:rsidRPr="00F958C0" w:rsidRDefault="00736D05" w:rsidP="00381ABC">
            <w:pPr>
              <w:pStyle w:val="NormalWeb"/>
              <w:spacing w:before="0" w:beforeAutospacing="0" w:after="0" w:afterAutospacing="0"/>
              <w:jc w:val="center"/>
            </w:pPr>
            <w:r>
              <w:rPr>
                <w:i/>
                <w:color w:val="000000"/>
              </w:rPr>
              <w:t>b</w:t>
            </w:r>
          </w:p>
        </w:tc>
        <w:tc>
          <w:tcPr>
            <w:tcW w:w="3214" w:type="dxa"/>
            <w:tcBorders>
              <w:left w:val="nil"/>
              <w:right w:val="nil"/>
            </w:tcBorders>
          </w:tcPr>
          <w:p w14:paraId="43AC183B" w14:textId="77777777" w:rsidR="005E1733" w:rsidRPr="00F958C0" w:rsidRDefault="005E1733" w:rsidP="00381ABC">
            <w:pPr>
              <w:pStyle w:val="NormalWeb"/>
              <w:spacing w:before="0" w:beforeAutospacing="0" w:after="0" w:afterAutospacing="0"/>
              <w:jc w:val="center"/>
            </w:pPr>
            <w:r w:rsidRPr="00F454B3">
              <w:rPr>
                <w:color w:val="000000"/>
              </w:rPr>
              <w:t>95% CI</w:t>
            </w:r>
          </w:p>
        </w:tc>
        <w:tc>
          <w:tcPr>
            <w:tcW w:w="3214" w:type="dxa"/>
            <w:tcBorders>
              <w:left w:val="nil"/>
            </w:tcBorders>
          </w:tcPr>
          <w:p w14:paraId="3C2A781C" w14:textId="0CFDFD2F" w:rsidR="005E1733" w:rsidRPr="00F958C0" w:rsidRDefault="0028572E" w:rsidP="00381ABC">
            <w:pPr>
              <w:pStyle w:val="NormalWeb"/>
              <w:spacing w:before="0" w:beforeAutospacing="0" w:after="0" w:afterAutospacing="0"/>
              <w:jc w:val="center"/>
            </w:pPr>
            <w:r>
              <w:t>p-value</w:t>
            </w:r>
          </w:p>
        </w:tc>
      </w:tr>
      <w:tr w:rsidR="005E1733" w14:paraId="2CEACEAA" w14:textId="77777777" w:rsidTr="00381ABC">
        <w:trPr>
          <w:trHeight w:val="286"/>
        </w:trPr>
        <w:tc>
          <w:tcPr>
            <w:tcW w:w="3214" w:type="dxa"/>
            <w:tcBorders>
              <w:top w:val="single" w:sz="4" w:space="0" w:color="auto"/>
              <w:bottom w:val="nil"/>
              <w:right w:val="nil"/>
            </w:tcBorders>
          </w:tcPr>
          <w:p w14:paraId="1689C930" w14:textId="7D742AF9" w:rsidR="005E1733" w:rsidRPr="00AB083F" w:rsidRDefault="006419B6" w:rsidP="00381ABC">
            <w:pPr>
              <w:pStyle w:val="NormalWeb"/>
            </w:pPr>
            <w:r>
              <w:t>County has a</w:t>
            </w:r>
            <w:r w:rsidR="005E1733">
              <w:t xml:space="preserve"> </w:t>
            </w:r>
            <w:r>
              <w:t xml:space="preserve">non-prison </w:t>
            </w:r>
            <w:r w:rsidR="005E1733">
              <w:t xml:space="preserve">TDCJ </w:t>
            </w:r>
            <w:r>
              <w:t>facility</w:t>
            </w:r>
          </w:p>
        </w:tc>
        <w:tc>
          <w:tcPr>
            <w:tcW w:w="3214" w:type="dxa"/>
            <w:tcBorders>
              <w:left w:val="nil"/>
              <w:bottom w:val="nil"/>
              <w:right w:val="nil"/>
            </w:tcBorders>
          </w:tcPr>
          <w:p w14:paraId="3EF8021E" w14:textId="442052C0" w:rsidR="005E1733" w:rsidRPr="0032193C" w:rsidRDefault="00812A70" w:rsidP="005D693E">
            <w:pPr>
              <w:pStyle w:val="NormalWeb"/>
              <w:jc w:val="center"/>
            </w:pPr>
            <w:r>
              <w:t xml:space="preserve"> </w:t>
            </w:r>
            <w:r w:rsidR="00E05973">
              <w:t>.</w:t>
            </w:r>
            <w:r w:rsidR="00EC6E1D">
              <w:t>370</w:t>
            </w:r>
          </w:p>
        </w:tc>
        <w:tc>
          <w:tcPr>
            <w:tcW w:w="3214" w:type="dxa"/>
            <w:tcBorders>
              <w:left w:val="nil"/>
              <w:bottom w:val="nil"/>
              <w:right w:val="nil"/>
            </w:tcBorders>
          </w:tcPr>
          <w:p w14:paraId="4B75FDE8" w14:textId="4DBDAF38" w:rsidR="005E1733" w:rsidRPr="0032193C" w:rsidRDefault="005E1733" w:rsidP="005D693E">
            <w:pPr>
              <w:pStyle w:val="NormalWeb"/>
              <w:jc w:val="center"/>
            </w:pPr>
            <w:r w:rsidRPr="00B71DAC">
              <w:t>[</w:t>
            </w:r>
            <w:r w:rsidR="006B62F8">
              <w:t>-.</w:t>
            </w:r>
            <w:r w:rsidR="00EC6E1D">
              <w:t>196</w:t>
            </w:r>
            <w:r w:rsidR="006B62F8">
              <w:t xml:space="preserve">, </w:t>
            </w:r>
            <w:r w:rsidR="00EC6E1D">
              <w:t>.935</w:t>
            </w:r>
            <w:r w:rsidRPr="00B71DAC">
              <w:t>]</w:t>
            </w:r>
          </w:p>
        </w:tc>
        <w:tc>
          <w:tcPr>
            <w:tcW w:w="3214" w:type="dxa"/>
            <w:tcBorders>
              <w:left w:val="nil"/>
              <w:bottom w:val="nil"/>
            </w:tcBorders>
          </w:tcPr>
          <w:p w14:paraId="089A924A" w14:textId="7DF2E00C" w:rsidR="005E1733" w:rsidRPr="0032193C" w:rsidRDefault="00E05973" w:rsidP="005D693E">
            <w:pPr>
              <w:pStyle w:val="NormalWeb"/>
              <w:jc w:val="center"/>
            </w:pPr>
            <w:r>
              <w:t>.</w:t>
            </w:r>
            <w:r w:rsidR="00EC6E1D">
              <w:t>200</w:t>
            </w:r>
          </w:p>
        </w:tc>
      </w:tr>
      <w:tr w:rsidR="006E29DE" w14:paraId="44ABFA31" w14:textId="77777777" w:rsidTr="00381ABC">
        <w:trPr>
          <w:trHeight w:val="272"/>
        </w:trPr>
        <w:tc>
          <w:tcPr>
            <w:tcW w:w="3214" w:type="dxa"/>
            <w:tcBorders>
              <w:top w:val="nil"/>
              <w:bottom w:val="nil"/>
              <w:right w:val="nil"/>
            </w:tcBorders>
          </w:tcPr>
          <w:p w14:paraId="71DCD1B5" w14:textId="6196D685" w:rsidR="006E29DE" w:rsidRPr="00A26235" w:rsidRDefault="006E29DE" w:rsidP="00381ABC">
            <w:pPr>
              <w:pStyle w:val="NormalWeb"/>
            </w:pPr>
            <w:r>
              <w:t>Land area</w:t>
            </w:r>
          </w:p>
        </w:tc>
        <w:tc>
          <w:tcPr>
            <w:tcW w:w="3214" w:type="dxa"/>
            <w:tcBorders>
              <w:top w:val="nil"/>
              <w:left w:val="nil"/>
              <w:bottom w:val="nil"/>
              <w:right w:val="nil"/>
            </w:tcBorders>
          </w:tcPr>
          <w:p w14:paraId="3F65F774" w14:textId="0E31D3D5" w:rsidR="006E29DE" w:rsidRDefault="00EC6E1D" w:rsidP="005D693E">
            <w:pPr>
              <w:pStyle w:val="NormalWeb"/>
              <w:jc w:val="center"/>
            </w:pPr>
            <w:r>
              <w:t>-.001</w:t>
            </w:r>
          </w:p>
        </w:tc>
        <w:tc>
          <w:tcPr>
            <w:tcW w:w="3214" w:type="dxa"/>
            <w:tcBorders>
              <w:top w:val="nil"/>
              <w:left w:val="nil"/>
              <w:bottom w:val="nil"/>
              <w:right w:val="nil"/>
            </w:tcBorders>
          </w:tcPr>
          <w:p w14:paraId="45D2E9CB" w14:textId="271364CC" w:rsidR="006E29DE" w:rsidRDefault="00812A70" w:rsidP="005D693E">
            <w:pPr>
              <w:pStyle w:val="NormalWeb"/>
              <w:jc w:val="center"/>
            </w:pPr>
            <w:r>
              <w:t xml:space="preserve"> </w:t>
            </w:r>
            <w:r w:rsidR="00EC6E1D">
              <w:t>[-.001, -.000]</w:t>
            </w:r>
          </w:p>
        </w:tc>
        <w:tc>
          <w:tcPr>
            <w:tcW w:w="3214" w:type="dxa"/>
            <w:tcBorders>
              <w:top w:val="nil"/>
              <w:left w:val="nil"/>
              <w:bottom w:val="nil"/>
            </w:tcBorders>
          </w:tcPr>
          <w:p w14:paraId="475FE39E" w14:textId="42AD1156" w:rsidR="006E29DE" w:rsidRPr="00B71DAC" w:rsidRDefault="00EC6E1D" w:rsidP="005D693E">
            <w:pPr>
              <w:pStyle w:val="NormalWeb"/>
              <w:jc w:val="center"/>
            </w:pPr>
            <w:r>
              <w:t>&lt; .001</w:t>
            </w:r>
          </w:p>
        </w:tc>
      </w:tr>
      <w:tr w:rsidR="006E29DE" w14:paraId="3DBD2CBF" w14:textId="77777777" w:rsidTr="00381ABC">
        <w:trPr>
          <w:trHeight w:val="272"/>
        </w:trPr>
        <w:tc>
          <w:tcPr>
            <w:tcW w:w="3214" w:type="dxa"/>
            <w:tcBorders>
              <w:top w:val="nil"/>
              <w:bottom w:val="nil"/>
              <w:right w:val="nil"/>
            </w:tcBorders>
          </w:tcPr>
          <w:p w14:paraId="65EDD4C8" w14:textId="72B08BFF" w:rsidR="006E29DE" w:rsidRPr="00A26235" w:rsidRDefault="006E29DE" w:rsidP="00381ABC">
            <w:pPr>
              <w:pStyle w:val="NormalWeb"/>
            </w:pPr>
            <w:r>
              <w:t>Percent industry employees</w:t>
            </w:r>
          </w:p>
        </w:tc>
        <w:tc>
          <w:tcPr>
            <w:tcW w:w="3214" w:type="dxa"/>
            <w:tcBorders>
              <w:top w:val="nil"/>
              <w:left w:val="nil"/>
              <w:bottom w:val="nil"/>
              <w:right w:val="nil"/>
            </w:tcBorders>
          </w:tcPr>
          <w:p w14:paraId="7008D9CA" w14:textId="06160E99" w:rsidR="006E29DE" w:rsidRDefault="00EC6E1D" w:rsidP="005D693E">
            <w:pPr>
              <w:pStyle w:val="NormalWeb"/>
              <w:jc w:val="center"/>
            </w:pPr>
            <w:r>
              <w:t>-.054</w:t>
            </w:r>
          </w:p>
        </w:tc>
        <w:tc>
          <w:tcPr>
            <w:tcW w:w="3214" w:type="dxa"/>
            <w:tcBorders>
              <w:top w:val="nil"/>
              <w:left w:val="nil"/>
              <w:bottom w:val="nil"/>
              <w:right w:val="nil"/>
            </w:tcBorders>
          </w:tcPr>
          <w:p w14:paraId="1E98121F" w14:textId="2E0E9FCE" w:rsidR="006E29DE" w:rsidRDefault="00812A70" w:rsidP="005D693E">
            <w:pPr>
              <w:pStyle w:val="NormalWeb"/>
              <w:jc w:val="center"/>
            </w:pPr>
            <w:r>
              <w:t xml:space="preserve"> </w:t>
            </w:r>
            <w:r w:rsidR="00EC6E1D">
              <w:t>[-.075, -.033]</w:t>
            </w:r>
          </w:p>
        </w:tc>
        <w:tc>
          <w:tcPr>
            <w:tcW w:w="3214" w:type="dxa"/>
            <w:tcBorders>
              <w:top w:val="nil"/>
              <w:left w:val="nil"/>
              <w:bottom w:val="nil"/>
            </w:tcBorders>
          </w:tcPr>
          <w:p w14:paraId="4AFBECED" w14:textId="047EF16E" w:rsidR="006E29DE" w:rsidRPr="00B71DAC" w:rsidRDefault="00EC6E1D" w:rsidP="005D693E">
            <w:pPr>
              <w:pStyle w:val="NormalWeb"/>
              <w:jc w:val="center"/>
            </w:pPr>
            <w:r>
              <w:t>&lt; .001</w:t>
            </w:r>
          </w:p>
        </w:tc>
      </w:tr>
      <w:tr w:rsidR="005E1733" w14:paraId="1AE2414A" w14:textId="77777777" w:rsidTr="00381ABC">
        <w:trPr>
          <w:trHeight w:val="272"/>
        </w:trPr>
        <w:tc>
          <w:tcPr>
            <w:tcW w:w="3214" w:type="dxa"/>
            <w:tcBorders>
              <w:top w:val="nil"/>
              <w:bottom w:val="nil"/>
              <w:right w:val="nil"/>
            </w:tcBorders>
          </w:tcPr>
          <w:p w14:paraId="470728EC" w14:textId="77777777" w:rsidR="005E1733" w:rsidRPr="00A26235" w:rsidRDefault="005E1733" w:rsidP="00381ABC">
            <w:pPr>
              <w:pStyle w:val="NormalWeb"/>
            </w:pPr>
            <w:r w:rsidRPr="00A26235">
              <w:t>Median household income</w:t>
            </w:r>
          </w:p>
        </w:tc>
        <w:tc>
          <w:tcPr>
            <w:tcW w:w="3214" w:type="dxa"/>
            <w:tcBorders>
              <w:top w:val="nil"/>
              <w:left w:val="nil"/>
              <w:bottom w:val="nil"/>
              <w:right w:val="nil"/>
            </w:tcBorders>
          </w:tcPr>
          <w:p w14:paraId="78B9C56A" w14:textId="47FAC271" w:rsidR="005E1733" w:rsidRPr="00865CF4" w:rsidRDefault="00812A70" w:rsidP="005D693E">
            <w:pPr>
              <w:pStyle w:val="NormalWeb"/>
              <w:jc w:val="center"/>
            </w:pPr>
            <w:r>
              <w:t xml:space="preserve"> </w:t>
            </w:r>
            <w:r w:rsidR="00E05973">
              <w:t>.00</w:t>
            </w:r>
            <w:r w:rsidR="00EC6E1D">
              <w:t>7</w:t>
            </w:r>
          </w:p>
        </w:tc>
        <w:tc>
          <w:tcPr>
            <w:tcW w:w="3214" w:type="dxa"/>
            <w:tcBorders>
              <w:top w:val="nil"/>
              <w:left w:val="nil"/>
              <w:bottom w:val="nil"/>
              <w:right w:val="nil"/>
            </w:tcBorders>
          </w:tcPr>
          <w:p w14:paraId="09D771FE" w14:textId="353FE0F0" w:rsidR="005E1733" w:rsidRPr="00865CF4" w:rsidRDefault="005E1733" w:rsidP="005D693E">
            <w:pPr>
              <w:pStyle w:val="NormalWeb"/>
              <w:jc w:val="center"/>
            </w:pPr>
            <w:r>
              <w:t>[</w:t>
            </w:r>
            <w:r w:rsidR="00E05973">
              <w:t>-.00</w:t>
            </w:r>
            <w:r w:rsidR="00EC6E1D">
              <w:t>4</w:t>
            </w:r>
            <w:r>
              <w:t xml:space="preserve">, </w:t>
            </w:r>
            <w:r w:rsidR="00E05973">
              <w:t>.01</w:t>
            </w:r>
            <w:r w:rsidR="0033767A">
              <w:t>9</w:t>
            </w:r>
            <w:r>
              <w:t>]</w:t>
            </w:r>
          </w:p>
        </w:tc>
        <w:tc>
          <w:tcPr>
            <w:tcW w:w="3214" w:type="dxa"/>
            <w:tcBorders>
              <w:top w:val="nil"/>
              <w:left w:val="nil"/>
              <w:bottom w:val="nil"/>
            </w:tcBorders>
          </w:tcPr>
          <w:p w14:paraId="293CC1C4" w14:textId="4DF0F6C7" w:rsidR="005E1733" w:rsidRPr="00865CF4" w:rsidRDefault="00812A70" w:rsidP="005D693E">
            <w:pPr>
              <w:pStyle w:val="NormalWeb"/>
              <w:jc w:val="center"/>
            </w:pPr>
            <w:r>
              <w:t xml:space="preserve">   </w:t>
            </w:r>
            <w:r w:rsidR="005E1733" w:rsidRPr="00B71DAC">
              <w:t>.</w:t>
            </w:r>
            <w:r w:rsidR="00EC6E1D">
              <w:t>222</w:t>
            </w:r>
          </w:p>
        </w:tc>
      </w:tr>
      <w:tr w:rsidR="005E1733" w14:paraId="67E94C1A" w14:textId="77777777" w:rsidTr="007B664C">
        <w:trPr>
          <w:trHeight w:val="306"/>
        </w:trPr>
        <w:tc>
          <w:tcPr>
            <w:tcW w:w="3214" w:type="dxa"/>
            <w:tcBorders>
              <w:top w:val="nil"/>
              <w:bottom w:val="nil"/>
              <w:right w:val="nil"/>
            </w:tcBorders>
          </w:tcPr>
          <w:p w14:paraId="74EF797D" w14:textId="77777777" w:rsidR="005E1733" w:rsidRDefault="005E1733" w:rsidP="00381ABC">
            <w:pPr>
              <w:pStyle w:val="NormalWeb"/>
              <w:rPr>
                <w:b/>
                <w:bCs/>
              </w:rPr>
            </w:pPr>
            <w:r w:rsidRPr="00A26235">
              <w:t>Population density</w:t>
            </w:r>
          </w:p>
        </w:tc>
        <w:tc>
          <w:tcPr>
            <w:tcW w:w="3214" w:type="dxa"/>
            <w:tcBorders>
              <w:top w:val="nil"/>
              <w:left w:val="nil"/>
              <w:bottom w:val="nil"/>
              <w:right w:val="nil"/>
            </w:tcBorders>
          </w:tcPr>
          <w:p w14:paraId="2214A6CD" w14:textId="7A02450F" w:rsidR="005E1733" w:rsidRPr="00865CF4" w:rsidRDefault="00812A70" w:rsidP="005D693E">
            <w:pPr>
              <w:pStyle w:val="NormalWeb"/>
              <w:jc w:val="center"/>
            </w:pPr>
            <w:r>
              <w:t xml:space="preserve"> </w:t>
            </w:r>
            <w:r w:rsidR="00E05973">
              <w:t>.</w:t>
            </w:r>
            <w:r w:rsidR="00EC6E1D">
              <w:t>200</w:t>
            </w:r>
          </w:p>
        </w:tc>
        <w:tc>
          <w:tcPr>
            <w:tcW w:w="3214" w:type="dxa"/>
            <w:tcBorders>
              <w:top w:val="nil"/>
              <w:left w:val="nil"/>
              <w:bottom w:val="nil"/>
              <w:right w:val="nil"/>
            </w:tcBorders>
          </w:tcPr>
          <w:p w14:paraId="0D4FB9A7" w14:textId="28B2BECB" w:rsidR="005E1733" w:rsidRPr="00865CF4" w:rsidRDefault="005E1733" w:rsidP="005D693E">
            <w:pPr>
              <w:pStyle w:val="NormalWeb"/>
              <w:jc w:val="center"/>
            </w:pPr>
            <w:r>
              <w:t>[</w:t>
            </w:r>
            <w:r w:rsidR="00EC6E1D">
              <w:t>-</w:t>
            </w:r>
            <w:r w:rsidR="00E05973">
              <w:t>.</w:t>
            </w:r>
            <w:r w:rsidR="00EC6E1D">
              <w:t>306</w:t>
            </w:r>
            <w:r>
              <w:t xml:space="preserve">, </w:t>
            </w:r>
            <w:r w:rsidR="00EC6E1D">
              <w:t>.706</w:t>
            </w:r>
            <w:r>
              <w:t>]</w:t>
            </w:r>
          </w:p>
        </w:tc>
        <w:tc>
          <w:tcPr>
            <w:tcW w:w="3214" w:type="dxa"/>
            <w:tcBorders>
              <w:top w:val="nil"/>
              <w:left w:val="nil"/>
              <w:bottom w:val="nil"/>
            </w:tcBorders>
          </w:tcPr>
          <w:p w14:paraId="4691F177" w14:textId="445D5DD8" w:rsidR="005E1733" w:rsidRPr="00865CF4" w:rsidRDefault="00812A70" w:rsidP="005D693E">
            <w:pPr>
              <w:pStyle w:val="NormalWeb"/>
              <w:jc w:val="center"/>
            </w:pPr>
            <w:r>
              <w:t xml:space="preserve">   </w:t>
            </w:r>
            <w:r w:rsidR="005E1733">
              <w:t>.</w:t>
            </w:r>
            <w:r w:rsidR="00EC6E1D">
              <w:t>437</w:t>
            </w:r>
          </w:p>
        </w:tc>
      </w:tr>
      <w:tr w:rsidR="00D6088A" w14:paraId="1AF157F1" w14:textId="77777777" w:rsidTr="007B664C">
        <w:trPr>
          <w:trHeight w:val="306"/>
        </w:trPr>
        <w:tc>
          <w:tcPr>
            <w:tcW w:w="3214" w:type="dxa"/>
            <w:tcBorders>
              <w:top w:val="nil"/>
              <w:bottom w:val="nil"/>
              <w:right w:val="nil"/>
            </w:tcBorders>
          </w:tcPr>
          <w:p w14:paraId="1027B617" w14:textId="03FF35D4" w:rsidR="00D6088A" w:rsidRPr="00A26235" w:rsidRDefault="00D6088A" w:rsidP="00381ABC">
            <w:pPr>
              <w:pStyle w:val="NormalWeb"/>
            </w:pPr>
            <w:r>
              <w:t xml:space="preserve">Percent of county population that is </w:t>
            </w:r>
            <w:r w:rsidR="00807939">
              <w:t>incarcerated individuals</w:t>
            </w:r>
          </w:p>
        </w:tc>
        <w:tc>
          <w:tcPr>
            <w:tcW w:w="3214" w:type="dxa"/>
            <w:tcBorders>
              <w:top w:val="nil"/>
              <w:left w:val="nil"/>
              <w:bottom w:val="nil"/>
              <w:right w:val="nil"/>
            </w:tcBorders>
          </w:tcPr>
          <w:p w14:paraId="5E813871" w14:textId="4D81047E" w:rsidR="00D6088A" w:rsidRDefault="00EC6E1D" w:rsidP="005D693E">
            <w:pPr>
              <w:pStyle w:val="NormalWeb"/>
              <w:jc w:val="center"/>
            </w:pPr>
            <w:r>
              <w:t>-.004</w:t>
            </w:r>
          </w:p>
        </w:tc>
        <w:tc>
          <w:tcPr>
            <w:tcW w:w="3214" w:type="dxa"/>
            <w:tcBorders>
              <w:top w:val="nil"/>
              <w:left w:val="nil"/>
              <w:bottom w:val="nil"/>
              <w:right w:val="nil"/>
            </w:tcBorders>
          </w:tcPr>
          <w:p w14:paraId="1E5F27B6" w14:textId="325F5203" w:rsidR="00D6088A" w:rsidRDefault="00E1089E" w:rsidP="005D693E">
            <w:pPr>
              <w:pStyle w:val="NormalWeb"/>
              <w:jc w:val="center"/>
            </w:pPr>
            <w:r>
              <w:t>[</w:t>
            </w:r>
            <w:r w:rsidR="0033767A">
              <w:t>-</w:t>
            </w:r>
            <w:r>
              <w:t>.0</w:t>
            </w:r>
            <w:r w:rsidR="00EC6E1D">
              <w:t>42</w:t>
            </w:r>
            <w:r>
              <w:t>, .0</w:t>
            </w:r>
            <w:r w:rsidR="00EC6E1D">
              <w:t>33</w:t>
            </w:r>
            <w:r>
              <w:t>]</w:t>
            </w:r>
          </w:p>
        </w:tc>
        <w:tc>
          <w:tcPr>
            <w:tcW w:w="3214" w:type="dxa"/>
            <w:tcBorders>
              <w:top w:val="nil"/>
              <w:left w:val="nil"/>
              <w:bottom w:val="nil"/>
            </w:tcBorders>
          </w:tcPr>
          <w:p w14:paraId="438330BB" w14:textId="6905D8F5" w:rsidR="00D6088A" w:rsidRDefault="00812A70" w:rsidP="005D693E">
            <w:pPr>
              <w:pStyle w:val="NormalWeb"/>
              <w:jc w:val="center"/>
            </w:pPr>
            <w:r>
              <w:t xml:space="preserve">   </w:t>
            </w:r>
            <w:r w:rsidR="00E1089E">
              <w:t>.</w:t>
            </w:r>
            <w:r w:rsidR="0033767A">
              <w:t>8</w:t>
            </w:r>
            <w:r w:rsidR="00EC6E1D">
              <w:t>24</w:t>
            </w:r>
          </w:p>
        </w:tc>
      </w:tr>
      <w:tr w:rsidR="005E1733" w14:paraId="32670169" w14:textId="77777777" w:rsidTr="007B664C">
        <w:trPr>
          <w:trHeight w:val="306"/>
        </w:trPr>
        <w:tc>
          <w:tcPr>
            <w:tcW w:w="3214" w:type="dxa"/>
            <w:tcBorders>
              <w:top w:val="nil"/>
              <w:bottom w:val="single" w:sz="4" w:space="0" w:color="auto"/>
              <w:right w:val="nil"/>
            </w:tcBorders>
          </w:tcPr>
          <w:p w14:paraId="7C197488" w14:textId="1C99BCA8" w:rsidR="005E1733" w:rsidRPr="00A26235" w:rsidRDefault="005E1733" w:rsidP="00381ABC">
            <w:pPr>
              <w:pStyle w:val="NormalWeb"/>
            </w:pPr>
            <w:r>
              <w:t xml:space="preserve">Percent non-Hispanic </w:t>
            </w:r>
            <w:r w:rsidR="000040A8">
              <w:t>W</w:t>
            </w:r>
            <w:r>
              <w:t>hite</w:t>
            </w:r>
          </w:p>
        </w:tc>
        <w:tc>
          <w:tcPr>
            <w:tcW w:w="3214" w:type="dxa"/>
            <w:tcBorders>
              <w:top w:val="nil"/>
              <w:left w:val="nil"/>
              <w:bottom w:val="single" w:sz="4" w:space="0" w:color="auto"/>
              <w:right w:val="nil"/>
            </w:tcBorders>
          </w:tcPr>
          <w:p w14:paraId="7798859B" w14:textId="7404DB65" w:rsidR="005E1733" w:rsidRDefault="00E05973" w:rsidP="005D693E">
            <w:pPr>
              <w:pStyle w:val="NormalWeb"/>
              <w:jc w:val="center"/>
            </w:pPr>
            <w:r>
              <w:t>-.0</w:t>
            </w:r>
            <w:r w:rsidR="00EC6E1D">
              <w:t>12</w:t>
            </w:r>
          </w:p>
        </w:tc>
        <w:tc>
          <w:tcPr>
            <w:tcW w:w="3214" w:type="dxa"/>
            <w:tcBorders>
              <w:top w:val="nil"/>
              <w:left w:val="nil"/>
              <w:bottom w:val="single" w:sz="4" w:space="0" w:color="auto"/>
              <w:right w:val="nil"/>
            </w:tcBorders>
          </w:tcPr>
          <w:p w14:paraId="314A836B" w14:textId="0215766F" w:rsidR="005E1733" w:rsidRDefault="00812A70" w:rsidP="005D693E">
            <w:pPr>
              <w:pStyle w:val="NormalWeb"/>
              <w:jc w:val="center"/>
            </w:pPr>
            <w:r>
              <w:t xml:space="preserve"> </w:t>
            </w:r>
            <w:r w:rsidR="005E1733">
              <w:t>[</w:t>
            </w:r>
            <w:r w:rsidR="00E05973">
              <w:t>-.01</w:t>
            </w:r>
            <w:r w:rsidR="00EC6E1D">
              <w:t>0</w:t>
            </w:r>
            <w:r w:rsidR="005E1733">
              <w:t xml:space="preserve">, </w:t>
            </w:r>
            <w:r w:rsidR="00EC6E1D">
              <w:t>-</w:t>
            </w:r>
            <w:r w:rsidR="00E05973">
              <w:t>.00</w:t>
            </w:r>
            <w:r w:rsidR="00EC6E1D">
              <w:t>5</w:t>
            </w:r>
            <w:r w:rsidR="005E1733">
              <w:t>]</w:t>
            </w:r>
          </w:p>
        </w:tc>
        <w:tc>
          <w:tcPr>
            <w:tcW w:w="3214" w:type="dxa"/>
            <w:tcBorders>
              <w:top w:val="nil"/>
              <w:left w:val="nil"/>
              <w:bottom w:val="single" w:sz="4" w:space="0" w:color="auto"/>
            </w:tcBorders>
          </w:tcPr>
          <w:p w14:paraId="12A0804F" w14:textId="653323BF" w:rsidR="005E1733" w:rsidRDefault="00812A70" w:rsidP="005D693E">
            <w:pPr>
              <w:pStyle w:val="NormalWeb"/>
              <w:jc w:val="center"/>
            </w:pPr>
            <w:r>
              <w:t xml:space="preserve">   </w:t>
            </w:r>
            <w:r w:rsidR="00682104">
              <w:t>.</w:t>
            </w:r>
            <w:r w:rsidR="00EC6E1D">
              <w:t>002</w:t>
            </w:r>
          </w:p>
        </w:tc>
      </w:tr>
    </w:tbl>
    <w:p w14:paraId="0F0F530F" w14:textId="448F0741" w:rsidR="00BE6E6D" w:rsidRPr="00BE6E6D" w:rsidRDefault="00BE6E6D" w:rsidP="00BE6E6D">
      <w:pPr>
        <w:pStyle w:val="NormalWeb"/>
        <w:spacing w:before="0" w:beforeAutospacing="0" w:after="0" w:afterAutospacing="0"/>
      </w:pPr>
      <w:r>
        <w:t xml:space="preserve">Note: </w:t>
      </w:r>
      <w:r w:rsidRPr="00BE6E6D">
        <w:rPr>
          <w:iCs/>
          <w:color w:val="000000"/>
        </w:rPr>
        <w:t>R</w:t>
      </w:r>
      <w:r w:rsidRPr="00BE6E6D">
        <w:rPr>
          <w:iCs/>
          <w:color w:val="000000"/>
          <w:vertAlign w:val="superscript"/>
        </w:rPr>
        <w:t xml:space="preserve">2 </w:t>
      </w:r>
      <w:r w:rsidRPr="00BE6E6D">
        <w:rPr>
          <w:iCs/>
          <w:color w:val="000000"/>
        </w:rPr>
        <w:t>= .263, Root MSE = 1.158</w:t>
      </w:r>
    </w:p>
    <w:p w14:paraId="27109DE2" w14:textId="4385B0D5" w:rsidR="00462F23" w:rsidRDefault="00462F23" w:rsidP="000E5B36">
      <w:pPr>
        <w:pStyle w:val="NormalWeb"/>
      </w:pPr>
    </w:p>
    <w:p w14:paraId="7ADDAB06" w14:textId="3D5A278B" w:rsidR="00462F23" w:rsidRPr="00F925A1" w:rsidRDefault="00462F23" w:rsidP="000E5B36">
      <w:pPr>
        <w:pStyle w:val="NormalWeb"/>
      </w:pPr>
    </w:p>
    <w:sectPr w:rsidR="00462F23" w:rsidRPr="00F925A1" w:rsidSect="00F958C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43FF" w14:textId="77777777" w:rsidR="00BE1CDD" w:rsidRDefault="00BE1CDD" w:rsidP="00392719">
      <w:r>
        <w:separator/>
      </w:r>
    </w:p>
  </w:endnote>
  <w:endnote w:type="continuationSeparator" w:id="0">
    <w:p w14:paraId="068B61C3" w14:textId="77777777" w:rsidR="00BE1CDD" w:rsidRDefault="00BE1CDD" w:rsidP="0039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EB70F" w14:textId="77777777" w:rsidR="00BE1CDD" w:rsidRDefault="00BE1CDD" w:rsidP="00392719">
      <w:r>
        <w:separator/>
      </w:r>
    </w:p>
  </w:footnote>
  <w:footnote w:type="continuationSeparator" w:id="0">
    <w:p w14:paraId="606B98C9" w14:textId="77777777" w:rsidR="00BE1CDD" w:rsidRDefault="00BE1CDD" w:rsidP="00392719">
      <w:r>
        <w:continuationSeparator/>
      </w:r>
    </w:p>
  </w:footnote>
  <w:footnote w:id="1">
    <w:p w14:paraId="0A337082" w14:textId="7F189DDD" w:rsidR="00EF1797" w:rsidRDefault="00EF1797">
      <w:pPr>
        <w:pStyle w:val="FootnoteText"/>
      </w:pPr>
      <w:r>
        <w:rPr>
          <w:rStyle w:val="FootnoteReference"/>
        </w:rPr>
        <w:footnoteRef/>
      </w:r>
      <w:r>
        <w:t xml:space="preserve"> The term “criminal legal system” is used in this paper as an alternative to “criminal justice system” because not all victims or perpetrators (accused and convicted) of crime feel that the system </w:t>
      </w:r>
      <w:r w:rsidR="003333AA">
        <w:t>does</w:t>
      </w:r>
      <w:r>
        <w:t xml:space="preserve"> them justice. </w:t>
      </w:r>
    </w:p>
  </w:footnote>
  <w:footnote w:id="2">
    <w:p w14:paraId="35C10244" w14:textId="3839C4F1" w:rsidR="007A7EA2" w:rsidRDefault="007A7EA2">
      <w:pPr>
        <w:pStyle w:val="FootnoteText"/>
      </w:pPr>
      <w:r>
        <w:rPr>
          <w:rStyle w:val="FootnoteReference"/>
        </w:rPr>
        <w:footnoteRef/>
      </w:r>
      <w:r>
        <w:t xml:space="preserve"> While </w:t>
      </w:r>
      <w:r w:rsidRPr="00324EAF">
        <w:rPr>
          <w:color w:val="212529"/>
          <w:shd w:val="clear" w:color="auto" w:fill="FFFFFF"/>
        </w:rPr>
        <w:t>PM</w:t>
      </w:r>
      <w:r w:rsidRPr="00324EAF">
        <w:rPr>
          <w:color w:val="212529"/>
          <w:shd w:val="clear" w:color="auto" w:fill="FFFFFF"/>
          <w:vertAlign w:val="subscript"/>
        </w:rPr>
        <w:t>2.5</w:t>
      </w:r>
      <w:r>
        <w:rPr>
          <w:color w:val="212529"/>
          <w:shd w:val="clear" w:color="auto" w:fill="FFFFFF"/>
          <w:vertAlign w:val="subscript"/>
        </w:rPr>
        <w:t xml:space="preserve"> </w:t>
      </w:r>
      <w:r w:rsidRPr="000F2E4C">
        <w:rPr>
          <w:color w:val="212529"/>
          <w:shd w:val="clear" w:color="auto" w:fill="FFFFFF"/>
        </w:rPr>
        <w:t xml:space="preserve">data </w:t>
      </w:r>
      <w:r w:rsidR="00BF43F3">
        <w:rPr>
          <w:color w:val="212529"/>
          <w:shd w:val="clear" w:color="auto" w:fill="FFFFFF"/>
        </w:rPr>
        <w:t>are</w:t>
      </w:r>
      <w:r w:rsidRPr="000F2E4C">
        <w:rPr>
          <w:color w:val="212529"/>
          <w:shd w:val="clear" w:color="auto" w:fill="FFFFFF"/>
        </w:rPr>
        <w:t xml:space="preserve"> available at the census-tract </w:t>
      </w:r>
      <w:r w:rsidR="000F2E4C" w:rsidRPr="000F2E4C">
        <w:rPr>
          <w:color w:val="212529"/>
          <w:shd w:val="clear" w:color="auto" w:fill="FFFFFF"/>
        </w:rPr>
        <w:t>level and</w:t>
      </w:r>
      <w:r w:rsidR="000F2E4C">
        <w:rPr>
          <w:color w:val="212529"/>
          <w:shd w:val="clear" w:color="auto" w:fill="FFFFFF"/>
        </w:rPr>
        <w:t xml:space="preserve"> using </w:t>
      </w:r>
      <w:r w:rsidR="00BF43F3">
        <w:rPr>
          <w:color w:val="212529"/>
          <w:shd w:val="clear" w:color="auto" w:fill="FFFFFF"/>
        </w:rPr>
        <w:t>them</w:t>
      </w:r>
      <w:r w:rsidR="000F2E4C">
        <w:rPr>
          <w:color w:val="212529"/>
          <w:shd w:val="clear" w:color="auto" w:fill="FFFFFF"/>
        </w:rPr>
        <w:t xml:space="preserve"> would be more comparable to past studies, </w:t>
      </w:r>
      <w:r w:rsidR="00BF43F3">
        <w:rPr>
          <w:color w:val="212529"/>
          <w:shd w:val="clear" w:color="auto" w:fill="FFFFFF"/>
        </w:rPr>
        <w:t>th</w:t>
      </w:r>
      <w:r w:rsidR="00636FD8">
        <w:rPr>
          <w:color w:val="212529"/>
          <w:shd w:val="clear" w:color="auto" w:fill="FFFFFF"/>
        </w:rPr>
        <w:t xml:space="preserve">is </w:t>
      </w:r>
      <w:r w:rsidR="000F2E4C">
        <w:rPr>
          <w:color w:val="212529"/>
          <w:shd w:val="clear" w:color="auto" w:fill="FFFFFF"/>
        </w:rPr>
        <w:t>census-tract data</w:t>
      </w:r>
      <w:r w:rsidR="000F2E4C">
        <w:t xml:space="preserve"> </w:t>
      </w:r>
      <w:r w:rsidR="00636FD8">
        <w:t>has</w:t>
      </w:r>
      <w:r w:rsidR="000F2E4C">
        <w:t xml:space="preserve"> a large degree of </w:t>
      </w:r>
      <w:r w:rsidR="0032116B">
        <w:t xml:space="preserve">imputation due to </w:t>
      </w:r>
      <w:r w:rsidR="000F2E4C">
        <w:t xml:space="preserve">missingness. </w:t>
      </w:r>
      <w:r w:rsidR="00636FD8">
        <w:t>If the imputation is incorrect, then results might also be incorrect. Thus,</w:t>
      </w:r>
      <w:r w:rsidR="000F2E4C">
        <w:t xml:space="preserve"> </w:t>
      </w:r>
      <w:r w:rsidR="004937C5">
        <w:t>we</w:t>
      </w:r>
      <w:r w:rsidR="000F2E4C">
        <w:t xml:space="preserve"> decided to use county-level data as </w:t>
      </w:r>
      <w:r w:rsidR="00356CFA">
        <w:t>they are</w:t>
      </w:r>
      <w:r w:rsidR="000F2E4C">
        <w:t xml:space="preserve"> more complete</w:t>
      </w:r>
      <w:r w:rsidR="00636FD8">
        <w:t xml:space="preserve"> and less likely to produce inaccurate findings</w:t>
      </w:r>
      <w:r w:rsidR="000F2E4C">
        <w:t xml:space="preserve">. </w:t>
      </w:r>
    </w:p>
  </w:footnote>
  <w:footnote w:id="3">
    <w:p w14:paraId="7ACE2E72" w14:textId="0A670DB9" w:rsidR="00392719" w:rsidRPr="000A7781" w:rsidRDefault="00392719">
      <w:pPr>
        <w:pStyle w:val="FootnoteText"/>
      </w:pPr>
      <w:r w:rsidRPr="00610DFA">
        <w:rPr>
          <w:rStyle w:val="FootnoteReference"/>
          <w:color w:val="000000" w:themeColor="text1"/>
        </w:rPr>
        <w:footnoteRef/>
      </w:r>
      <w:r w:rsidRPr="00610DFA">
        <w:rPr>
          <w:color w:val="000000" w:themeColor="text1"/>
        </w:rPr>
        <w:t xml:space="preserve"> </w:t>
      </w:r>
      <w:hyperlink r:id="rId1" w:history="1">
        <w:r w:rsidRPr="00610DFA">
          <w:rPr>
            <w:rStyle w:val="Hyperlink"/>
            <w:color w:val="000000" w:themeColor="text1"/>
          </w:rPr>
          <w:t>https://ephtracking.cdc.gov/DataExplorer/</w:t>
        </w:r>
      </w:hyperlink>
      <w:r w:rsidRPr="00610DFA">
        <w:rPr>
          <w:rStyle w:val="Hyperlink"/>
          <w:color w:val="000000" w:themeColor="text1"/>
        </w:rPr>
        <w:t>.</w:t>
      </w:r>
      <w:r w:rsidR="000A7781" w:rsidRPr="00610DFA">
        <w:rPr>
          <w:rStyle w:val="Hyperlink"/>
          <w:color w:val="000000" w:themeColor="text1"/>
          <w:u w:val="none"/>
        </w:rPr>
        <w:t xml:space="preserve"> To get this data, select “Air Quality”, “Historical Air Quality”, and “Pm2.5: Annual Average Concentration (Monitor </w:t>
      </w:r>
      <w:r w:rsidR="00636FD8">
        <w:rPr>
          <w:rStyle w:val="Hyperlink"/>
          <w:color w:val="000000" w:themeColor="text1"/>
          <w:u w:val="none"/>
        </w:rPr>
        <w:t>and Modeled Data</w:t>
      </w:r>
      <w:r w:rsidR="000A7781" w:rsidRPr="00610DFA">
        <w:rPr>
          <w:rStyle w:val="Hyperlink"/>
          <w:color w:val="000000" w:themeColor="text1"/>
          <w:u w:val="none"/>
        </w:rPr>
        <w:t xml:space="preserve">)” under step 1, “State by County” under step 2, and “Texas” under step 3. </w:t>
      </w:r>
    </w:p>
  </w:footnote>
  <w:footnote w:id="4">
    <w:p w14:paraId="183265BC" w14:textId="5B79CCF1" w:rsidR="00392719" w:rsidRPr="00210C79" w:rsidRDefault="00392719">
      <w:pPr>
        <w:pStyle w:val="FootnoteText"/>
      </w:pPr>
      <w:r w:rsidRPr="00210C79">
        <w:rPr>
          <w:rStyle w:val="FootnoteReference"/>
        </w:rPr>
        <w:footnoteRef/>
      </w:r>
      <w:r w:rsidRPr="00210C79">
        <w:t xml:space="preserve"> </w:t>
      </w:r>
      <w:hyperlink r:id="rId2" w:history="1">
        <w:r w:rsidRPr="00210C79">
          <w:rPr>
            <w:rStyle w:val="Hyperlink"/>
          </w:rPr>
          <w:t>https://www.tdcj.texas.gov/unit_directory/index.html</w:t>
        </w:r>
      </w:hyperlink>
    </w:p>
  </w:footnote>
  <w:footnote w:id="5">
    <w:p w14:paraId="505F44A8" w14:textId="07C5EE59" w:rsidR="00A35A3F" w:rsidRDefault="00A35A3F">
      <w:pPr>
        <w:pStyle w:val="FootnoteText"/>
      </w:pPr>
      <w:r w:rsidRPr="00210C79">
        <w:rPr>
          <w:rStyle w:val="FootnoteReference"/>
        </w:rPr>
        <w:footnoteRef/>
      </w:r>
      <w:r w:rsidRPr="00210C79">
        <w:t xml:space="preserve"> </w:t>
      </w:r>
      <w:r w:rsidRPr="00210C79">
        <w:rPr>
          <w:color w:val="000000"/>
        </w:rPr>
        <w:t>https://www.socialexplorer.com/tables/ACS2019_5yr/R13068930</w:t>
      </w:r>
    </w:p>
  </w:footnote>
  <w:footnote w:id="6">
    <w:p w14:paraId="30BE08FA" w14:textId="7AEA79AB" w:rsidR="00D85A11" w:rsidRPr="00D85A11" w:rsidRDefault="00D85A11">
      <w:pPr>
        <w:pStyle w:val="FootnoteText"/>
      </w:pPr>
      <w:r>
        <w:rPr>
          <w:rStyle w:val="FootnoteReference"/>
        </w:rPr>
        <w:footnoteRef/>
      </w:r>
      <w:r>
        <w:t xml:space="preserve"> </w:t>
      </w:r>
      <w:r w:rsidRPr="00392719">
        <w:rPr>
          <w:color w:val="212529"/>
          <w:shd w:val="clear" w:color="auto" w:fill="FFFFFF"/>
        </w:rPr>
        <w:t>PM</w:t>
      </w:r>
      <w:r w:rsidRPr="00392719">
        <w:rPr>
          <w:color w:val="212529"/>
          <w:shd w:val="clear" w:color="auto" w:fill="FFFFFF"/>
          <w:vertAlign w:val="subscript"/>
        </w:rPr>
        <w:t>2.5</w:t>
      </w:r>
      <w:r>
        <w:rPr>
          <w:color w:val="212529"/>
          <w:shd w:val="clear" w:color="auto" w:fill="FFFFFF"/>
          <w:vertAlign w:val="subscript"/>
        </w:rPr>
        <w:t xml:space="preserve"> </w:t>
      </w:r>
      <w:r>
        <w:rPr>
          <w:color w:val="212529"/>
          <w:shd w:val="clear" w:color="auto" w:fill="FFFFFF"/>
        </w:rPr>
        <w:t xml:space="preserve">could be measured miles away from the TDCJ facilities included in this study so these measurements might not be precise for </w:t>
      </w:r>
      <w:r w:rsidR="00F34BA2">
        <w:rPr>
          <w:color w:val="212529"/>
          <w:shd w:val="clear" w:color="auto" w:fill="FFFFFF"/>
        </w:rPr>
        <w:t>all</w:t>
      </w:r>
      <w:r>
        <w:rPr>
          <w:color w:val="212529"/>
          <w:shd w:val="clear" w:color="auto" w:fill="FFFFFF"/>
        </w:rPr>
        <w:t xml:space="preserve"> facilities. </w:t>
      </w:r>
    </w:p>
  </w:footnote>
  <w:footnote w:id="7">
    <w:p w14:paraId="0FF8E8FB" w14:textId="6120AB6B" w:rsidR="00396E64" w:rsidRDefault="00396E64">
      <w:pPr>
        <w:pStyle w:val="FootnoteText"/>
      </w:pPr>
      <w:r>
        <w:rPr>
          <w:rStyle w:val="FootnoteReference"/>
        </w:rPr>
        <w:footnoteRef/>
      </w:r>
      <w:r>
        <w:t xml:space="preserve"> </w:t>
      </w:r>
      <w:r w:rsidR="00B31578">
        <w:t>Eight</w:t>
      </w:r>
      <w:r>
        <w:t xml:space="preserve"> counties have both prisons and non- prison facilities and are thus included in both of these lists. </w:t>
      </w:r>
    </w:p>
  </w:footnote>
  <w:footnote w:id="8">
    <w:p w14:paraId="6A569202" w14:textId="4BFE81BB" w:rsidR="00D54BDD" w:rsidRDefault="00D54BDD" w:rsidP="00D54BDD">
      <w:pPr>
        <w:pStyle w:val="FootnoteText"/>
      </w:pPr>
      <w:r>
        <w:rPr>
          <w:rStyle w:val="FootnoteReference"/>
        </w:rPr>
        <w:footnoteRef/>
      </w:r>
      <w:r>
        <w:t xml:space="preserve"> This includes people who are incarcerated</w:t>
      </w:r>
      <w:r w:rsidR="00CA03F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1B"/>
    <w:multiLevelType w:val="hybridMultilevel"/>
    <w:tmpl w:val="272E6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0A4D10"/>
    <w:multiLevelType w:val="hybridMultilevel"/>
    <w:tmpl w:val="599C1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0D10"/>
    <w:multiLevelType w:val="hybridMultilevel"/>
    <w:tmpl w:val="CC2E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D38B9"/>
    <w:multiLevelType w:val="hybridMultilevel"/>
    <w:tmpl w:val="7F8E0A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074A1"/>
    <w:multiLevelType w:val="hybridMultilevel"/>
    <w:tmpl w:val="68981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C2EE2"/>
    <w:multiLevelType w:val="hybridMultilevel"/>
    <w:tmpl w:val="7B52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A153A"/>
    <w:multiLevelType w:val="hybridMultilevel"/>
    <w:tmpl w:val="931C22C8"/>
    <w:lvl w:ilvl="0" w:tplc="AEFC9E7C">
      <w:start w:val="5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022E1"/>
    <w:multiLevelType w:val="hybridMultilevel"/>
    <w:tmpl w:val="B6AA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C6241"/>
    <w:multiLevelType w:val="hybridMultilevel"/>
    <w:tmpl w:val="2B76A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F2C49"/>
    <w:multiLevelType w:val="hybridMultilevel"/>
    <w:tmpl w:val="2C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52D01"/>
    <w:multiLevelType w:val="hybridMultilevel"/>
    <w:tmpl w:val="078616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B0568"/>
    <w:multiLevelType w:val="hybridMultilevel"/>
    <w:tmpl w:val="2DEE8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579BB"/>
    <w:multiLevelType w:val="hybridMultilevel"/>
    <w:tmpl w:val="B5C288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3532A"/>
    <w:multiLevelType w:val="hybridMultilevel"/>
    <w:tmpl w:val="59D015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260C6"/>
    <w:multiLevelType w:val="hybridMultilevel"/>
    <w:tmpl w:val="BE6C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9E27AB"/>
    <w:multiLevelType w:val="hybridMultilevel"/>
    <w:tmpl w:val="7FEC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F681D"/>
    <w:multiLevelType w:val="hybridMultilevel"/>
    <w:tmpl w:val="E3467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212A96"/>
    <w:multiLevelType w:val="hybridMultilevel"/>
    <w:tmpl w:val="D74E4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47BAD"/>
    <w:multiLevelType w:val="hybridMultilevel"/>
    <w:tmpl w:val="81F62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A6A93"/>
    <w:multiLevelType w:val="hybridMultilevel"/>
    <w:tmpl w:val="C6BA6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E274EA"/>
    <w:multiLevelType w:val="hybridMultilevel"/>
    <w:tmpl w:val="09EA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82159B"/>
    <w:multiLevelType w:val="hybridMultilevel"/>
    <w:tmpl w:val="17D2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4C43F3"/>
    <w:multiLevelType w:val="hybridMultilevel"/>
    <w:tmpl w:val="279C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479B1"/>
    <w:multiLevelType w:val="hybridMultilevel"/>
    <w:tmpl w:val="7C5438DC"/>
    <w:lvl w:ilvl="0" w:tplc="AEFC9E7C">
      <w:start w:val="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50712"/>
    <w:multiLevelType w:val="hybridMultilevel"/>
    <w:tmpl w:val="C5E0BD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E593B"/>
    <w:multiLevelType w:val="hybridMultilevel"/>
    <w:tmpl w:val="C6AEB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440F6"/>
    <w:multiLevelType w:val="hybridMultilevel"/>
    <w:tmpl w:val="C802B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66B6A"/>
    <w:multiLevelType w:val="hybridMultilevel"/>
    <w:tmpl w:val="0DB8C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81DC3"/>
    <w:multiLevelType w:val="hybridMultilevel"/>
    <w:tmpl w:val="F0EE8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AD4C8F"/>
    <w:multiLevelType w:val="hybridMultilevel"/>
    <w:tmpl w:val="9CB0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57090"/>
    <w:multiLevelType w:val="hybridMultilevel"/>
    <w:tmpl w:val="4B4C3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154F71"/>
    <w:multiLevelType w:val="hybridMultilevel"/>
    <w:tmpl w:val="F0BE4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51054"/>
    <w:multiLevelType w:val="hybridMultilevel"/>
    <w:tmpl w:val="17A8CA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30AE2"/>
    <w:multiLevelType w:val="hybridMultilevel"/>
    <w:tmpl w:val="6CB2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814D9"/>
    <w:multiLevelType w:val="hybridMultilevel"/>
    <w:tmpl w:val="F80C98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E391F"/>
    <w:multiLevelType w:val="hybridMultilevel"/>
    <w:tmpl w:val="23CC9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F2325E"/>
    <w:multiLevelType w:val="hybridMultilevel"/>
    <w:tmpl w:val="F5625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E4CBB"/>
    <w:multiLevelType w:val="hybridMultilevel"/>
    <w:tmpl w:val="D82A8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4029A"/>
    <w:multiLevelType w:val="hybridMultilevel"/>
    <w:tmpl w:val="8B188C82"/>
    <w:lvl w:ilvl="0" w:tplc="A1942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61DF0"/>
    <w:multiLevelType w:val="hybridMultilevel"/>
    <w:tmpl w:val="6B66B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480422">
    <w:abstractNumId w:val="10"/>
  </w:num>
  <w:num w:numId="2" w16cid:durableId="1727414240">
    <w:abstractNumId w:val="31"/>
  </w:num>
  <w:num w:numId="3" w16cid:durableId="2042513834">
    <w:abstractNumId w:val="32"/>
  </w:num>
  <w:num w:numId="4" w16cid:durableId="344746170">
    <w:abstractNumId w:val="13"/>
  </w:num>
  <w:num w:numId="5" w16cid:durableId="129901945">
    <w:abstractNumId w:val="27"/>
  </w:num>
  <w:num w:numId="6" w16cid:durableId="839201635">
    <w:abstractNumId w:val="19"/>
  </w:num>
  <w:num w:numId="7" w16cid:durableId="1364209273">
    <w:abstractNumId w:val="2"/>
  </w:num>
  <w:num w:numId="8" w16cid:durableId="135925621">
    <w:abstractNumId w:val="29"/>
  </w:num>
  <w:num w:numId="9" w16cid:durableId="118454276">
    <w:abstractNumId w:val="22"/>
  </w:num>
  <w:num w:numId="10" w16cid:durableId="1972705150">
    <w:abstractNumId w:val="17"/>
  </w:num>
  <w:num w:numId="11" w16cid:durableId="1707635620">
    <w:abstractNumId w:val="1"/>
  </w:num>
  <w:num w:numId="12" w16cid:durableId="801925827">
    <w:abstractNumId w:val="21"/>
  </w:num>
  <w:num w:numId="13" w16cid:durableId="888226309">
    <w:abstractNumId w:val="16"/>
  </w:num>
  <w:num w:numId="14" w16cid:durableId="942228428">
    <w:abstractNumId w:val="37"/>
  </w:num>
  <w:num w:numId="15" w16cid:durableId="1021081160">
    <w:abstractNumId w:val="3"/>
  </w:num>
  <w:num w:numId="16" w16cid:durableId="834953915">
    <w:abstractNumId w:val="12"/>
  </w:num>
  <w:num w:numId="17" w16cid:durableId="2085955786">
    <w:abstractNumId w:val="24"/>
  </w:num>
  <w:num w:numId="18" w16cid:durableId="1369137186">
    <w:abstractNumId w:val="11"/>
  </w:num>
  <w:num w:numId="19" w16cid:durableId="320743041">
    <w:abstractNumId w:val="39"/>
  </w:num>
  <w:num w:numId="20" w16cid:durableId="1770546230">
    <w:abstractNumId w:val="26"/>
  </w:num>
  <w:num w:numId="21" w16cid:durableId="737165119">
    <w:abstractNumId w:val="8"/>
  </w:num>
  <w:num w:numId="22" w16cid:durableId="915820152">
    <w:abstractNumId w:val="30"/>
  </w:num>
  <w:num w:numId="23" w16cid:durableId="17391275">
    <w:abstractNumId w:val="28"/>
  </w:num>
  <w:num w:numId="24" w16cid:durableId="80493940">
    <w:abstractNumId w:val="25"/>
  </w:num>
  <w:num w:numId="25" w16cid:durableId="2122798311">
    <w:abstractNumId w:val="35"/>
  </w:num>
  <w:num w:numId="26" w16cid:durableId="1483547038">
    <w:abstractNumId w:val="18"/>
  </w:num>
  <w:num w:numId="27" w16cid:durableId="1230842821">
    <w:abstractNumId w:val="34"/>
  </w:num>
  <w:num w:numId="28" w16cid:durableId="1679232373">
    <w:abstractNumId w:val="4"/>
  </w:num>
  <w:num w:numId="29" w16cid:durableId="1304500600">
    <w:abstractNumId w:val="38"/>
  </w:num>
  <w:num w:numId="30" w16cid:durableId="963460250">
    <w:abstractNumId w:val="7"/>
  </w:num>
  <w:num w:numId="31" w16cid:durableId="1147354380">
    <w:abstractNumId w:val="9"/>
  </w:num>
  <w:num w:numId="32" w16cid:durableId="382217541">
    <w:abstractNumId w:val="33"/>
  </w:num>
  <w:num w:numId="33" w16cid:durableId="1587690725">
    <w:abstractNumId w:val="20"/>
  </w:num>
  <w:num w:numId="34" w16cid:durableId="1297570108">
    <w:abstractNumId w:val="5"/>
  </w:num>
  <w:num w:numId="35" w16cid:durableId="934946170">
    <w:abstractNumId w:val="36"/>
  </w:num>
  <w:num w:numId="36" w16cid:durableId="2136018449">
    <w:abstractNumId w:val="6"/>
  </w:num>
  <w:num w:numId="37" w16cid:durableId="1551918309">
    <w:abstractNumId w:val="23"/>
  </w:num>
  <w:num w:numId="38" w16cid:durableId="1092508983">
    <w:abstractNumId w:val="14"/>
  </w:num>
  <w:num w:numId="39" w16cid:durableId="403795408">
    <w:abstractNumId w:val="0"/>
  </w:num>
  <w:num w:numId="40" w16cid:durableId="15897279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DC"/>
    <w:rsid w:val="0000229D"/>
    <w:rsid w:val="000040A8"/>
    <w:rsid w:val="0001240D"/>
    <w:rsid w:val="00022B56"/>
    <w:rsid w:val="00023517"/>
    <w:rsid w:val="0002490B"/>
    <w:rsid w:val="000263C2"/>
    <w:rsid w:val="00026FCC"/>
    <w:rsid w:val="000400F1"/>
    <w:rsid w:val="0004273D"/>
    <w:rsid w:val="00045541"/>
    <w:rsid w:val="00050812"/>
    <w:rsid w:val="00053EB0"/>
    <w:rsid w:val="00055D23"/>
    <w:rsid w:val="000575FF"/>
    <w:rsid w:val="00060702"/>
    <w:rsid w:val="00061FD1"/>
    <w:rsid w:val="00063161"/>
    <w:rsid w:val="00063583"/>
    <w:rsid w:val="00064614"/>
    <w:rsid w:val="0007051D"/>
    <w:rsid w:val="0007729C"/>
    <w:rsid w:val="00080518"/>
    <w:rsid w:val="0008512D"/>
    <w:rsid w:val="00086C99"/>
    <w:rsid w:val="00090231"/>
    <w:rsid w:val="0009321B"/>
    <w:rsid w:val="000A01F2"/>
    <w:rsid w:val="000A7781"/>
    <w:rsid w:val="000B1479"/>
    <w:rsid w:val="000B3839"/>
    <w:rsid w:val="000B4795"/>
    <w:rsid w:val="000C054F"/>
    <w:rsid w:val="000C3998"/>
    <w:rsid w:val="000C4B3B"/>
    <w:rsid w:val="000C6F02"/>
    <w:rsid w:val="000D098C"/>
    <w:rsid w:val="000D0D63"/>
    <w:rsid w:val="000D4065"/>
    <w:rsid w:val="000E4333"/>
    <w:rsid w:val="000E5B36"/>
    <w:rsid w:val="000E672C"/>
    <w:rsid w:val="000E7F6F"/>
    <w:rsid w:val="000F1020"/>
    <w:rsid w:val="000F21B8"/>
    <w:rsid w:val="000F2E4C"/>
    <w:rsid w:val="000F47AA"/>
    <w:rsid w:val="000F69EF"/>
    <w:rsid w:val="00101963"/>
    <w:rsid w:val="00104FF3"/>
    <w:rsid w:val="0011066F"/>
    <w:rsid w:val="0011190A"/>
    <w:rsid w:val="00113077"/>
    <w:rsid w:val="00117839"/>
    <w:rsid w:val="00120E92"/>
    <w:rsid w:val="00125588"/>
    <w:rsid w:val="001256DA"/>
    <w:rsid w:val="00125E50"/>
    <w:rsid w:val="00135604"/>
    <w:rsid w:val="00136C6F"/>
    <w:rsid w:val="00140CFC"/>
    <w:rsid w:val="00142604"/>
    <w:rsid w:val="00150B05"/>
    <w:rsid w:val="00152263"/>
    <w:rsid w:val="00154A80"/>
    <w:rsid w:val="0016156A"/>
    <w:rsid w:val="001665BB"/>
    <w:rsid w:val="00167E4C"/>
    <w:rsid w:val="001718BF"/>
    <w:rsid w:val="0018086C"/>
    <w:rsid w:val="0018242A"/>
    <w:rsid w:val="00183165"/>
    <w:rsid w:val="00184030"/>
    <w:rsid w:val="00184594"/>
    <w:rsid w:val="0018746E"/>
    <w:rsid w:val="00190DB9"/>
    <w:rsid w:val="00197CDB"/>
    <w:rsid w:val="001A12CA"/>
    <w:rsid w:val="001A1F57"/>
    <w:rsid w:val="001A3F79"/>
    <w:rsid w:val="001B05C9"/>
    <w:rsid w:val="001B069E"/>
    <w:rsid w:val="001B1161"/>
    <w:rsid w:val="001B4BC9"/>
    <w:rsid w:val="001B6E40"/>
    <w:rsid w:val="001C1271"/>
    <w:rsid w:val="001C1783"/>
    <w:rsid w:val="001C6CE0"/>
    <w:rsid w:val="001C730D"/>
    <w:rsid w:val="001D182B"/>
    <w:rsid w:val="001D1EB2"/>
    <w:rsid w:val="001E1E5F"/>
    <w:rsid w:val="001E2081"/>
    <w:rsid w:val="001E22A3"/>
    <w:rsid w:val="001E28B2"/>
    <w:rsid w:val="001E5723"/>
    <w:rsid w:val="001F0C76"/>
    <w:rsid w:val="001F1004"/>
    <w:rsid w:val="001F3A3D"/>
    <w:rsid w:val="001F5A01"/>
    <w:rsid w:val="00205026"/>
    <w:rsid w:val="00210C79"/>
    <w:rsid w:val="002126ED"/>
    <w:rsid w:val="00221664"/>
    <w:rsid w:val="002219A3"/>
    <w:rsid w:val="00222A51"/>
    <w:rsid w:val="00223312"/>
    <w:rsid w:val="00226F57"/>
    <w:rsid w:val="00231220"/>
    <w:rsid w:val="0023221D"/>
    <w:rsid w:val="00232707"/>
    <w:rsid w:val="0023439C"/>
    <w:rsid w:val="00241321"/>
    <w:rsid w:val="0024174A"/>
    <w:rsid w:val="00246832"/>
    <w:rsid w:val="00247249"/>
    <w:rsid w:val="00251D09"/>
    <w:rsid w:val="002573FF"/>
    <w:rsid w:val="00260292"/>
    <w:rsid w:val="00261B2F"/>
    <w:rsid w:val="00262707"/>
    <w:rsid w:val="00263698"/>
    <w:rsid w:val="00267E3B"/>
    <w:rsid w:val="00273525"/>
    <w:rsid w:val="00284B04"/>
    <w:rsid w:val="00284CA7"/>
    <w:rsid w:val="002856D6"/>
    <w:rsid w:val="0028572E"/>
    <w:rsid w:val="002916F8"/>
    <w:rsid w:val="00292259"/>
    <w:rsid w:val="002A07B6"/>
    <w:rsid w:val="002A5D1C"/>
    <w:rsid w:val="002A66B7"/>
    <w:rsid w:val="002B19B4"/>
    <w:rsid w:val="002B2A05"/>
    <w:rsid w:val="002B2C4B"/>
    <w:rsid w:val="002B3BAD"/>
    <w:rsid w:val="002B4557"/>
    <w:rsid w:val="002B45C4"/>
    <w:rsid w:val="002B63A6"/>
    <w:rsid w:val="002C6AEF"/>
    <w:rsid w:val="002C6D5B"/>
    <w:rsid w:val="002D2B0F"/>
    <w:rsid w:val="002D4FCD"/>
    <w:rsid w:val="002D74D3"/>
    <w:rsid w:val="002E1F4B"/>
    <w:rsid w:val="002E261A"/>
    <w:rsid w:val="002E3D29"/>
    <w:rsid w:val="002E4C86"/>
    <w:rsid w:val="002E73AB"/>
    <w:rsid w:val="002F4D9E"/>
    <w:rsid w:val="00300C47"/>
    <w:rsid w:val="00305281"/>
    <w:rsid w:val="00306CD0"/>
    <w:rsid w:val="00307EF0"/>
    <w:rsid w:val="0031356A"/>
    <w:rsid w:val="00314B9A"/>
    <w:rsid w:val="0031740B"/>
    <w:rsid w:val="00320E9D"/>
    <w:rsid w:val="0032116B"/>
    <w:rsid w:val="0032193C"/>
    <w:rsid w:val="00321BFB"/>
    <w:rsid w:val="003241E2"/>
    <w:rsid w:val="00324EAF"/>
    <w:rsid w:val="00330DAD"/>
    <w:rsid w:val="003333AA"/>
    <w:rsid w:val="003335F1"/>
    <w:rsid w:val="003365A0"/>
    <w:rsid w:val="0033754B"/>
    <w:rsid w:val="0033767A"/>
    <w:rsid w:val="00340D55"/>
    <w:rsid w:val="00342048"/>
    <w:rsid w:val="00344B2B"/>
    <w:rsid w:val="00345139"/>
    <w:rsid w:val="003526B8"/>
    <w:rsid w:val="00354B45"/>
    <w:rsid w:val="00356CFA"/>
    <w:rsid w:val="003728A7"/>
    <w:rsid w:val="00373FF5"/>
    <w:rsid w:val="003761D3"/>
    <w:rsid w:val="003806AC"/>
    <w:rsid w:val="00392719"/>
    <w:rsid w:val="00396E64"/>
    <w:rsid w:val="003A1559"/>
    <w:rsid w:val="003A4256"/>
    <w:rsid w:val="003A7FB9"/>
    <w:rsid w:val="003B1DDB"/>
    <w:rsid w:val="003B35C1"/>
    <w:rsid w:val="003B75CD"/>
    <w:rsid w:val="003C1B67"/>
    <w:rsid w:val="003C6089"/>
    <w:rsid w:val="003C6EEB"/>
    <w:rsid w:val="003C7294"/>
    <w:rsid w:val="003D38D5"/>
    <w:rsid w:val="003D5FEF"/>
    <w:rsid w:val="003D64C0"/>
    <w:rsid w:val="003D69C5"/>
    <w:rsid w:val="003E111D"/>
    <w:rsid w:val="003E39F1"/>
    <w:rsid w:val="003E6C10"/>
    <w:rsid w:val="003F1BE4"/>
    <w:rsid w:val="003F52E9"/>
    <w:rsid w:val="003F5922"/>
    <w:rsid w:val="003F6043"/>
    <w:rsid w:val="003F7098"/>
    <w:rsid w:val="003F7FA2"/>
    <w:rsid w:val="004034FD"/>
    <w:rsid w:val="00405B98"/>
    <w:rsid w:val="00407754"/>
    <w:rsid w:val="00410FC2"/>
    <w:rsid w:val="00411455"/>
    <w:rsid w:val="004123B8"/>
    <w:rsid w:val="00416C35"/>
    <w:rsid w:val="0041718E"/>
    <w:rsid w:val="00417620"/>
    <w:rsid w:val="004208AE"/>
    <w:rsid w:val="004260F8"/>
    <w:rsid w:val="00426350"/>
    <w:rsid w:val="00427B5A"/>
    <w:rsid w:val="00427E89"/>
    <w:rsid w:val="00427FBC"/>
    <w:rsid w:val="00431102"/>
    <w:rsid w:val="00435C9E"/>
    <w:rsid w:val="004362E9"/>
    <w:rsid w:val="00436BBC"/>
    <w:rsid w:val="0043742E"/>
    <w:rsid w:val="00441830"/>
    <w:rsid w:val="00450BC0"/>
    <w:rsid w:val="00450DFC"/>
    <w:rsid w:val="00451F7D"/>
    <w:rsid w:val="004544EB"/>
    <w:rsid w:val="0045497D"/>
    <w:rsid w:val="00454B08"/>
    <w:rsid w:val="0045769C"/>
    <w:rsid w:val="00462ED8"/>
    <w:rsid w:val="00462F23"/>
    <w:rsid w:val="00463ACB"/>
    <w:rsid w:val="0046625D"/>
    <w:rsid w:val="00470B1C"/>
    <w:rsid w:val="00470F92"/>
    <w:rsid w:val="00472CC9"/>
    <w:rsid w:val="004746F7"/>
    <w:rsid w:val="00474DFE"/>
    <w:rsid w:val="00476EEC"/>
    <w:rsid w:val="00477C1D"/>
    <w:rsid w:val="004815D7"/>
    <w:rsid w:val="00483A72"/>
    <w:rsid w:val="00485E06"/>
    <w:rsid w:val="00487B17"/>
    <w:rsid w:val="004937C5"/>
    <w:rsid w:val="00496A74"/>
    <w:rsid w:val="004A0000"/>
    <w:rsid w:val="004A78EA"/>
    <w:rsid w:val="004B0889"/>
    <w:rsid w:val="004B178D"/>
    <w:rsid w:val="004B2BE9"/>
    <w:rsid w:val="004B77C8"/>
    <w:rsid w:val="004C06E9"/>
    <w:rsid w:val="004C1735"/>
    <w:rsid w:val="004C22E7"/>
    <w:rsid w:val="004D10CF"/>
    <w:rsid w:val="004D55D0"/>
    <w:rsid w:val="004D7459"/>
    <w:rsid w:val="004D748B"/>
    <w:rsid w:val="004E3C61"/>
    <w:rsid w:val="004E63BB"/>
    <w:rsid w:val="004E7E2E"/>
    <w:rsid w:val="004F26CC"/>
    <w:rsid w:val="004F72EB"/>
    <w:rsid w:val="00501493"/>
    <w:rsid w:val="00502BC5"/>
    <w:rsid w:val="0050478B"/>
    <w:rsid w:val="005110BB"/>
    <w:rsid w:val="00511116"/>
    <w:rsid w:val="00514129"/>
    <w:rsid w:val="005151BA"/>
    <w:rsid w:val="00520A7C"/>
    <w:rsid w:val="005238B5"/>
    <w:rsid w:val="0053045F"/>
    <w:rsid w:val="00535850"/>
    <w:rsid w:val="005359DC"/>
    <w:rsid w:val="005404BD"/>
    <w:rsid w:val="00545B42"/>
    <w:rsid w:val="00547766"/>
    <w:rsid w:val="005536BF"/>
    <w:rsid w:val="0055468A"/>
    <w:rsid w:val="005551CD"/>
    <w:rsid w:val="005625D4"/>
    <w:rsid w:val="00565171"/>
    <w:rsid w:val="005656ED"/>
    <w:rsid w:val="005718F2"/>
    <w:rsid w:val="00571CFB"/>
    <w:rsid w:val="00572E3B"/>
    <w:rsid w:val="00574120"/>
    <w:rsid w:val="005765D3"/>
    <w:rsid w:val="00577D54"/>
    <w:rsid w:val="00582CE3"/>
    <w:rsid w:val="005874CB"/>
    <w:rsid w:val="005904AD"/>
    <w:rsid w:val="00593274"/>
    <w:rsid w:val="005958C7"/>
    <w:rsid w:val="005964CE"/>
    <w:rsid w:val="00597264"/>
    <w:rsid w:val="005A6584"/>
    <w:rsid w:val="005A71D2"/>
    <w:rsid w:val="005B25B8"/>
    <w:rsid w:val="005B2C4D"/>
    <w:rsid w:val="005B2E1F"/>
    <w:rsid w:val="005B3B62"/>
    <w:rsid w:val="005B4A4A"/>
    <w:rsid w:val="005B57E5"/>
    <w:rsid w:val="005B5D17"/>
    <w:rsid w:val="005B6A17"/>
    <w:rsid w:val="005B7AFB"/>
    <w:rsid w:val="005C039C"/>
    <w:rsid w:val="005C0E91"/>
    <w:rsid w:val="005D05F9"/>
    <w:rsid w:val="005D2081"/>
    <w:rsid w:val="005D4C26"/>
    <w:rsid w:val="005D6882"/>
    <w:rsid w:val="005D693E"/>
    <w:rsid w:val="005D7F92"/>
    <w:rsid w:val="005E158F"/>
    <w:rsid w:val="005E1733"/>
    <w:rsid w:val="005E37E9"/>
    <w:rsid w:val="005E3955"/>
    <w:rsid w:val="005F1AF3"/>
    <w:rsid w:val="005F224A"/>
    <w:rsid w:val="00601B2A"/>
    <w:rsid w:val="00603691"/>
    <w:rsid w:val="00603F50"/>
    <w:rsid w:val="00607D16"/>
    <w:rsid w:val="00610269"/>
    <w:rsid w:val="00610DFA"/>
    <w:rsid w:val="006118AC"/>
    <w:rsid w:val="006125B4"/>
    <w:rsid w:val="0062111E"/>
    <w:rsid w:val="00621E60"/>
    <w:rsid w:val="006220E5"/>
    <w:rsid w:val="006224C3"/>
    <w:rsid w:val="00622DFA"/>
    <w:rsid w:val="0062549B"/>
    <w:rsid w:val="006256F8"/>
    <w:rsid w:val="0063433D"/>
    <w:rsid w:val="0063605D"/>
    <w:rsid w:val="00636FD8"/>
    <w:rsid w:val="00640B6C"/>
    <w:rsid w:val="006414C5"/>
    <w:rsid w:val="006419B6"/>
    <w:rsid w:val="0064516D"/>
    <w:rsid w:val="006476CA"/>
    <w:rsid w:val="0065001D"/>
    <w:rsid w:val="00653606"/>
    <w:rsid w:val="00657FE8"/>
    <w:rsid w:val="00660523"/>
    <w:rsid w:val="006713D2"/>
    <w:rsid w:val="00677507"/>
    <w:rsid w:val="006777AE"/>
    <w:rsid w:val="00682104"/>
    <w:rsid w:val="006847AD"/>
    <w:rsid w:val="00685C94"/>
    <w:rsid w:val="006868B8"/>
    <w:rsid w:val="006874D5"/>
    <w:rsid w:val="006914FD"/>
    <w:rsid w:val="006931B9"/>
    <w:rsid w:val="00697A1A"/>
    <w:rsid w:val="006A0E2E"/>
    <w:rsid w:val="006A1B80"/>
    <w:rsid w:val="006A2397"/>
    <w:rsid w:val="006A245A"/>
    <w:rsid w:val="006A372F"/>
    <w:rsid w:val="006B2F4A"/>
    <w:rsid w:val="006B3B4D"/>
    <w:rsid w:val="006B5A2E"/>
    <w:rsid w:val="006B62F8"/>
    <w:rsid w:val="006C2C5F"/>
    <w:rsid w:val="006C392A"/>
    <w:rsid w:val="006C5E61"/>
    <w:rsid w:val="006D4189"/>
    <w:rsid w:val="006D5CFD"/>
    <w:rsid w:val="006D6C16"/>
    <w:rsid w:val="006E0F24"/>
    <w:rsid w:val="006E1F96"/>
    <w:rsid w:val="006E29DE"/>
    <w:rsid w:val="006E4F49"/>
    <w:rsid w:val="006E67E6"/>
    <w:rsid w:val="006F00CE"/>
    <w:rsid w:val="006F097B"/>
    <w:rsid w:val="006F097F"/>
    <w:rsid w:val="006F1D3A"/>
    <w:rsid w:val="006F45E6"/>
    <w:rsid w:val="006F678E"/>
    <w:rsid w:val="006F6AB6"/>
    <w:rsid w:val="00703F61"/>
    <w:rsid w:val="007053E7"/>
    <w:rsid w:val="00705536"/>
    <w:rsid w:val="00705FF2"/>
    <w:rsid w:val="00707F6A"/>
    <w:rsid w:val="00711EFC"/>
    <w:rsid w:val="00711F93"/>
    <w:rsid w:val="00714361"/>
    <w:rsid w:val="0071656E"/>
    <w:rsid w:val="00717AA9"/>
    <w:rsid w:val="007273DF"/>
    <w:rsid w:val="00736D05"/>
    <w:rsid w:val="00737BBA"/>
    <w:rsid w:val="007419B3"/>
    <w:rsid w:val="00745C21"/>
    <w:rsid w:val="00752BAE"/>
    <w:rsid w:val="007555FB"/>
    <w:rsid w:val="0076152D"/>
    <w:rsid w:val="00763A4E"/>
    <w:rsid w:val="00767585"/>
    <w:rsid w:val="00774813"/>
    <w:rsid w:val="00774DF9"/>
    <w:rsid w:val="0077540B"/>
    <w:rsid w:val="0078650B"/>
    <w:rsid w:val="007867A7"/>
    <w:rsid w:val="007876CC"/>
    <w:rsid w:val="00787DC4"/>
    <w:rsid w:val="00794393"/>
    <w:rsid w:val="00794528"/>
    <w:rsid w:val="007965C6"/>
    <w:rsid w:val="00796C7A"/>
    <w:rsid w:val="007A7EA2"/>
    <w:rsid w:val="007B4C9D"/>
    <w:rsid w:val="007B664C"/>
    <w:rsid w:val="007C1005"/>
    <w:rsid w:val="007C190A"/>
    <w:rsid w:val="007C2796"/>
    <w:rsid w:val="007C48FD"/>
    <w:rsid w:val="007C64A6"/>
    <w:rsid w:val="007C6D21"/>
    <w:rsid w:val="007D44D9"/>
    <w:rsid w:val="007D7081"/>
    <w:rsid w:val="007D7F28"/>
    <w:rsid w:val="007E32D6"/>
    <w:rsid w:val="007E5942"/>
    <w:rsid w:val="007F31B4"/>
    <w:rsid w:val="0080016E"/>
    <w:rsid w:val="008011CC"/>
    <w:rsid w:val="00803556"/>
    <w:rsid w:val="00803A22"/>
    <w:rsid w:val="0080581B"/>
    <w:rsid w:val="008068AD"/>
    <w:rsid w:val="00807939"/>
    <w:rsid w:val="00807BE9"/>
    <w:rsid w:val="00810F06"/>
    <w:rsid w:val="00812A70"/>
    <w:rsid w:val="00822C85"/>
    <w:rsid w:val="00823B4D"/>
    <w:rsid w:val="00823C30"/>
    <w:rsid w:val="00825E5B"/>
    <w:rsid w:val="00831BA5"/>
    <w:rsid w:val="00832BCC"/>
    <w:rsid w:val="008418AB"/>
    <w:rsid w:val="00841908"/>
    <w:rsid w:val="0084494A"/>
    <w:rsid w:val="008508FF"/>
    <w:rsid w:val="00850AC9"/>
    <w:rsid w:val="00850C52"/>
    <w:rsid w:val="00860868"/>
    <w:rsid w:val="0086100D"/>
    <w:rsid w:val="0086575A"/>
    <w:rsid w:val="00865CF4"/>
    <w:rsid w:val="00870EC1"/>
    <w:rsid w:val="00870FA1"/>
    <w:rsid w:val="008751DA"/>
    <w:rsid w:val="00875988"/>
    <w:rsid w:val="00875CAC"/>
    <w:rsid w:val="00876696"/>
    <w:rsid w:val="00877023"/>
    <w:rsid w:val="00880EF8"/>
    <w:rsid w:val="008841F4"/>
    <w:rsid w:val="00886A5E"/>
    <w:rsid w:val="00893CB8"/>
    <w:rsid w:val="0089684D"/>
    <w:rsid w:val="008B1BD8"/>
    <w:rsid w:val="008B72B3"/>
    <w:rsid w:val="008C34E0"/>
    <w:rsid w:val="008C4749"/>
    <w:rsid w:val="008D03D0"/>
    <w:rsid w:val="008D2786"/>
    <w:rsid w:val="008D2B4E"/>
    <w:rsid w:val="008D2D50"/>
    <w:rsid w:val="008D66B6"/>
    <w:rsid w:val="008E2401"/>
    <w:rsid w:val="008E4639"/>
    <w:rsid w:val="008E46B6"/>
    <w:rsid w:val="008E57BF"/>
    <w:rsid w:val="008E76C7"/>
    <w:rsid w:val="008E7B80"/>
    <w:rsid w:val="008F15C5"/>
    <w:rsid w:val="008F5CEA"/>
    <w:rsid w:val="008F610C"/>
    <w:rsid w:val="00904143"/>
    <w:rsid w:val="00912F70"/>
    <w:rsid w:val="009143D3"/>
    <w:rsid w:val="0091732C"/>
    <w:rsid w:val="00917615"/>
    <w:rsid w:val="009204F9"/>
    <w:rsid w:val="00920655"/>
    <w:rsid w:val="00921F8B"/>
    <w:rsid w:val="009420C9"/>
    <w:rsid w:val="00942C47"/>
    <w:rsid w:val="00945947"/>
    <w:rsid w:val="009476D5"/>
    <w:rsid w:val="00951779"/>
    <w:rsid w:val="00964F27"/>
    <w:rsid w:val="009655EA"/>
    <w:rsid w:val="00975970"/>
    <w:rsid w:val="00982A3D"/>
    <w:rsid w:val="00983609"/>
    <w:rsid w:val="00996F0E"/>
    <w:rsid w:val="009A426F"/>
    <w:rsid w:val="009A66A0"/>
    <w:rsid w:val="009A7ADA"/>
    <w:rsid w:val="009B2288"/>
    <w:rsid w:val="009C032A"/>
    <w:rsid w:val="009C2963"/>
    <w:rsid w:val="009C49E7"/>
    <w:rsid w:val="009D1219"/>
    <w:rsid w:val="009E7BE4"/>
    <w:rsid w:val="009E7DE7"/>
    <w:rsid w:val="009F06C2"/>
    <w:rsid w:val="009F0DA0"/>
    <w:rsid w:val="00A02283"/>
    <w:rsid w:val="00A02789"/>
    <w:rsid w:val="00A05A82"/>
    <w:rsid w:val="00A1295D"/>
    <w:rsid w:val="00A14113"/>
    <w:rsid w:val="00A14216"/>
    <w:rsid w:val="00A144A8"/>
    <w:rsid w:val="00A15C0D"/>
    <w:rsid w:val="00A20E08"/>
    <w:rsid w:val="00A2382F"/>
    <w:rsid w:val="00A26235"/>
    <w:rsid w:val="00A26808"/>
    <w:rsid w:val="00A32DC3"/>
    <w:rsid w:val="00A35A3F"/>
    <w:rsid w:val="00A35D35"/>
    <w:rsid w:val="00A36E81"/>
    <w:rsid w:val="00A3711A"/>
    <w:rsid w:val="00A37771"/>
    <w:rsid w:val="00A47021"/>
    <w:rsid w:val="00A57D8F"/>
    <w:rsid w:val="00A62CA5"/>
    <w:rsid w:val="00A71A0E"/>
    <w:rsid w:val="00A73997"/>
    <w:rsid w:val="00A75668"/>
    <w:rsid w:val="00A849CA"/>
    <w:rsid w:val="00A84B6D"/>
    <w:rsid w:val="00A87C3A"/>
    <w:rsid w:val="00A94002"/>
    <w:rsid w:val="00A94BD9"/>
    <w:rsid w:val="00A955E3"/>
    <w:rsid w:val="00AA204F"/>
    <w:rsid w:val="00AA2347"/>
    <w:rsid w:val="00AB083F"/>
    <w:rsid w:val="00AB230C"/>
    <w:rsid w:val="00AB4042"/>
    <w:rsid w:val="00AB5C84"/>
    <w:rsid w:val="00AB7737"/>
    <w:rsid w:val="00AC0219"/>
    <w:rsid w:val="00AC349B"/>
    <w:rsid w:val="00AC5E16"/>
    <w:rsid w:val="00AC7A0E"/>
    <w:rsid w:val="00AD0841"/>
    <w:rsid w:val="00AD0B0F"/>
    <w:rsid w:val="00AD0D2E"/>
    <w:rsid w:val="00AD17F1"/>
    <w:rsid w:val="00AD1A36"/>
    <w:rsid w:val="00AD388F"/>
    <w:rsid w:val="00AE131B"/>
    <w:rsid w:val="00AE1A50"/>
    <w:rsid w:val="00AE38B1"/>
    <w:rsid w:val="00AE662A"/>
    <w:rsid w:val="00AF3E4D"/>
    <w:rsid w:val="00B02FF2"/>
    <w:rsid w:val="00B05CC0"/>
    <w:rsid w:val="00B05D57"/>
    <w:rsid w:val="00B15BB8"/>
    <w:rsid w:val="00B160DB"/>
    <w:rsid w:val="00B266B9"/>
    <w:rsid w:val="00B30B17"/>
    <w:rsid w:val="00B30B9B"/>
    <w:rsid w:val="00B31578"/>
    <w:rsid w:val="00B31980"/>
    <w:rsid w:val="00B36BBB"/>
    <w:rsid w:val="00B37149"/>
    <w:rsid w:val="00B37296"/>
    <w:rsid w:val="00B40AE5"/>
    <w:rsid w:val="00B41E93"/>
    <w:rsid w:val="00B42732"/>
    <w:rsid w:val="00B455B0"/>
    <w:rsid w:val="00B45DF1"/>
    <w:rsid w:val="00B51B58"/>
    <w:rsid w:val="00B52143"/>
    <w:rsid w:val="00B52862"/>
    <w:rsid w:val="00B5360E"/>
    <w:rsid w:val="00B627B9"/>
    <w:rsid w:val="00B6312C"/>
    <w:rsid w:val="00B660EE"/>
    <w:rsid w:val="00B70534"/>
    <w:rsid w:val="00B70C12"/>
    <w:rsid w:val="00B71DAC"/>
    <w:rsid w:val="00B727D9"/>
    <w:rsid w:val="00B768E6"/>
    <w:rsid w:val="00B83CFC"/>
    <w:rsid w:val="00B85F94"/>
    <w:rsid w:val="00B95A78"/>
    <w:rsid w:val="00BA33C8"/>
    <w:rsid w:val="00BA4C99"/>
    <w:rsid w:val="00BA525D"/>
    <w:rsid w:val="00BB120C"/>
    <w:rsid w:val="00BB2B44"/>
    <w:rsid w:val="00BC363B"/>
    <w:rsid w:val="00BC37EC"/>
    <w:rsid w:val="00BC5343"/>
    <w:rsid w:val="00BC6EEB"/>
    <w:rsid w:val="00BC7A07"/>
    <w:rsid w:val="00BD1437"/>
    <w:rsid w:val="00BD37BA"/>
    <w:rsid w:val="00BE0C8E"/>
    <w:rsid w:val="00BE1CDD"/>
    <w:rsid w:val="00BE4072"/>
    <w:rsid w:val="00BE4231"/>
    <w:rsid w:val="00BE54C4"/>
    <w:rsid w:val="00BE6E6D"/>
    <w:rsid w:val="00BF13AB"/>
    <w:rsid w:val="00BF1601"/>
    <w:rsid w:val="00BF43F3"/>
    <w:rsid w:val="00BF6057"/>
    <w:rsid w:val="00C00563"/>
    <w:rsid w:val="00C01C19"/>
    <w:rsid w:val="00C02B00"/>
    <w:rsid w:val="00C05156"/>
    <w:rsid w:val="00C05527"/>
    <w:rsid w:val="00C0684F"/>
    <w:rsid w:val="00C107C5"/>
    <w:rsid w:val="00C12358"/>
    <w:rsid w:val="00C124DE"/>
    <w:rsid w:val="00C1541C"/>
    <w:rsid w:val="00C170A7"/>
    <w:rsid w:val="00C234D3"/>
    <w:rsid w:val="00C23687"/>
    <w:rsid w:val="00C25FB8"/>
    <w:rsid w:val="00C27E5C"/>
    <w:rsid w:val="00C30943"/>
    <w:rsid w:val="00C32831"/>
    <w:rsid w:val="00C3596C"/>
    <w:rsid w:val="00C36084"/>
    <w:rsid w:val="00C41A64"/>
    <w:rsid w:val="00C43F8B"/>
    <w:rsid w:val="00C4485B"/>
    <w:rsid w:val="00C45769"/>
    <w:rsid w:val="00C45BA4"/>
    <w:rsid w:val="00C45DC3"/>
    <w:rsid w:val="00C50896"/>
    <w:rsid w:val="00C51E0F"/>
    <w:rsid w:val="00C65E97"/>
    <w:rsid w:val="00C7077F"/>
    <w:rsid w:val="00C74437"/>
    <w:rsid w:val="00C7464C"/>
    <w:rsid w:val="00C76E8F"/>
    <w:rsid w:val="00C7713C"/>
    <w:rsid w:val="00C77CC8"/>
    <w:rsid w:val="00C868C8"/>
    <w:rsid w:val="00C9257E"/>
    <w:rsid w:val="00C9299E"/>
    <w:rsid w:val="00C92D67"/>
    <w:rsid w:val="00C93584"/>
    <w:rsid w:val="00C93FAE"/>
    <w:rsid w:val="00C9477A"/>
    <w:rsid w:val="00C95372"/>
    <w:rsid w:val="00C96A09"/>
    <w:rsid w:val="00CA03F0"/>
    <w:rsid w:val="00CA47F3"/>
    <w:rsid w:val="00CA6BA8"/>
    <w:rsid w:val="00CB0A6A"/>
    <w:rsid w:val="00CB3237"/>
    <w:rsid w:val="00CB40E2"/>
    <w:rsid w:val="00CB666D"/>
    <w:rsid w:val="00CC0075"/>
    <w:rsid w:val="00CC416C"/>
    <w:rsid w:val="00CC4330"/>
    <w:rsid w:val="00CC5032"/>
    <w:rsid w:val="00CC5CE2"/>
    <w:rsid w:val="00CD0076"/>
    <w:rsid w:val="00CD1396"/>
    <w:rsid w:val="00CD18FD"/>
    <w:rsid w:val="00CE25E1"/>
    <w:rsid w:val="00CE2FA7"/>
    <w:rsid w:val="00CE6E65"/>
    <w:rsid w:val="00CF261F"/>
    <w:rsid w:val="00CF6B2E"/>
    <w:rsid w:val="00CF7B7D"/>
    <w:rsid w:val="00D06685"/>
    <w:rsid w:val="00D144D4"/>
    <w:rsid w:val="00D17C39"/>
    <w:rsid w:val="00D242B5"/>
    <w:rsid w:val="00D248A9"/>
    <w:rsid w:val="00D25F3D"/>
    <w:rsid w:val="00D26C76"/>
    <w:rsid w:val="00D278F8"/>
    <w:rsid w:val="00D3344C"/>
    <w:rsid w:val="00D35E09"/>
    <w:rsid w:val="00D4070D"/>
    <w:rsid w:val="00D436E3"/>
    <w:rsid w:val="00D436E5"/>
    <w:rsid w:val="00D43DF1"/>
    <w:rsid w:val="00D45040"/>
    <w:rsid w:val="00D45527"/>
    <w:rsid w:val="00D45D7D"/>
    <w:rsid w:val="00D47622"/>
    <w:rsid w:val="00D5143E"/>
    <w:rsid w:val="00D54968"/>
    <w:rsid w:val="00D54BDD"/>
    <w:rsid w:val="00D55EAC"/>
    <w:rsid w:val="00D60813"/>
    <w:rsid w:val="00D6088A"/>
    <w:rsid w:val="00D622A1"/>
    <w:rsid w:val="00D63309"/>
    <w:rsid w:val="00D63EA4"/>
    <w:rsid w:val="00D66D2A"/>
    <w:rsid w:val="00D66E8D"/>
    <w:rsid w:val="00D724F9"/>
    <w:rsid w:val="00D742D4"/>
    <w:rsid w:val="00D74B53"/>
    <w:rsid w:val="00D82B3D"/>
    <w:rsid w:val="00D82BC0"/>
    <w:rsid w:val="00D85789"/>
    <w:rsid w:val="00D85A11"/>
    <w:rsid w:val="00D91FBF"/>
    <w:rsid w:val="00D948FA"/>
    <w:rsid w:val="00D949EA"/>
    <w:rsid w:val="00D96407"/>
    <w:rsid w:val="00DA39A0"/>
    <w:rsid w:val="00DA4902"/>
    <w:rsid w:val="00DA5015"/>
    <w:rsid w:val="00DB0EEA"/>
    <w:rsid w:val="00DB4979"/>
    <w:rsid w:val="00DB55B9"/>
    <w:rsid w:val="00DC17C8"/>
    <w:rsid w:val="00DC69B6"/>
    <w:rsid w:val="00DC7F07"/>
    <w:rsid w:val="00DD02CB"/>
    <w:rsid w:val="00DD2205"/>
    <w:rsid w:val="00DD3B20"/>
    <w:rsid w:val="00DD7997"/>
    <w:rsid w:val="00DE2343"/>
    <w:rsid w:val="00DF084A"/>
    <w:rsid w:val="00DF1571"/>
    <w:rsid w:val="00DF2E99"/>
    <w:rsid w:val="00DF535B"/>
    <w:rsid w:val="00E0421A"/>
    <w:rsid w:val="00E05973"/>
    <w:rsid w:val="00E1089E"/>
    <w:rsid w:val="00E134C2"/>
    <w:rsid w:val="00E1608A"/>
    <w:rsid w:val="00E21668"/>
    <w:rsid w:val="00E228B0"/>
    <w:rsid w:val="00E25307"/>
    <w:rsid w:val="00E25A18"/>
    <w:rsid w:val="00E269F4"/>
    <w:rsid w:val="00E278BF"/>
    <w:rsid w:val="00E32306"/>
    <w:rsid w:val="00E35563"/>
    <w:rsid w:val="00E42D1C"/>
    <w:rsid w:val="00E440E8"/>
    <w:rsid w:val="00E44869"/>
    <w:rsid w:val="00E44B83"/>
    <w:rsid w:val="00E56A0E"/>
    <w:rsid w:val="00E57FBC"/>
    <w:rsid w:val="00E62319"/>
    <w:rsid w:val="00E6470D"/>
    <w:rsid w:val="00E660B5"/>
    <w:rsid w:val="00E6769C"/>
    <w:rsid w:val="00E744B6"/>
    <w:rsid w:val="00E76E8E"/>
    <w:rsid w:val="00E81D81"/>
    <w:rsid w:val="00E842DD"/>
    <w:rsid w:val="00E863D9"/>
    <w:rsid w:val="00E969BF"/>
    <w:rsid w:val="00E96BB9"/>
    <w:rsid w:val="00EA0124"/>
    <w:rsid w:val="00EA0ECB"/>
    <w:rsid w:val="00EA120B"/>
    <w:rsid w:val="00EA3724"/>
    <w:rsid w:val="00EA409F"/>
    <w:rsid w:val="00EA599A"/>
    <w:rsid w:val="00EA6209"/>
    <w:rsid w:val="00EB3C42"/>
    <w:rsid w:val="00EB783F"/>
    <w:rsid w:val="00EB7D8F"/>
    <w:rsid w:val="00EC4E6F"/>
    <w:rsid w:val="00EC696B"/>
    <w:rsid w:val="00EC6E1D"/>
    <w:rsid w:val="00EC6F78"/>
    <w:rsid w:val="00ED1887"/>
    <w:rsid w:val="00ED494C"/>
    <w:rsid w:val="00ED52E9"/>
    <w:rsid w:val="00EE2623"/>
    <w:rsid w:val="00EE36DC"/>
    <w:rsid w:val="00EE4953"/>
    <w:rsid w:val="00EF0F55"/>
    <w:rsid w:val="00EF1797"/>
    <w:rsid w:val="00EF17B7"/>
    <w:rsid w:val="00EF2E7A"/>
    <w:rsid w:val="00EF7324"/>
    <w:rsid w:val="00F0129C"/>
    <w:rsid w:val="00F01AD9"/>
    <w:rsid w:val="00F02418"/>
    <w:rsid w:val="00F03F55"/>
    <w:rsid w:val="00F0655E"/>
    <w:rsid w:val="00F11BA6"/>
    <w:rsid w:val="00F12EC8"/>
    <w:rsid w:val="00F138FC"/>
    <w:rsid w:val="00F13DC4"/>
    <w:rsid w:val="00F253A3"/>
    <w:rsid w:val="00F25D56"/>
    <w:rsid w:val="00F2621A"/>
    <w:rsid w:val="00F265C9"/>
    <w:rsid w:val="00F26D50"/>
    <w:rsid w:val="00F33DAB"/>
    <w:rsid w:val="00F34BA2"/>
    <w:rsid w:val="00F41846"/>
    <w:rsid w:val="00F43C86"/>
    <w:rsid w:val="00F472E2"/>
    <w:rsid w:val="00F54DF7"/>
    <w:rsid w:val="00F7737D"/>
    <w:rsid w:val="00F8171B"/>
    <w:rsid w:val="00F8238F"/>
    <w:rsid w:val="00F84173"/>
    <w:rsid w:val="00F8419C"/>
    <w:rsid w:val="00F914D3"/>
    <w:rsid w:val="00F91CE2"/>
    <w:rsid w:val="00F925A1"/>
    <w:rsid w:val="00F958C0"/>
    <w:rsid w:val="00F96A63"/>
    <w:rsid w:val="00F96F86"/>
    <w:rsid w:val="00FA020A"/>
    <w:rsid w:val="00FA04C4"/>
    <w:rsid w:val="00FA18E4"/>
    <w:rsid w:val="00FA7628"/>
    <w:rsid w:val="00FA7CB3"/>
    <w:rsid w:val="00FB10D3"/>
    <w:rsid w:val="00FB36E0"/>
    <w:rsid w:val="00FB3A5E"/>
    <w:rsid w:val="00FB4D7F"/>
    <w:rsid w:val="00FB714B"/>
    <w:rsid w:val="00FC3105"/>
    <w:rsid w:val="00FC7D4C"/>
    <w:rsid w:val="00FD04B0"/>
    <w:rsid w:val="00FE4ADE"/>
    <w:rsid w:val="00FF1C8E"/>
    <w:rsid w:val="00FF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DF588"/>
  <w15:chartTrackingRefBased/>
  <w15:docId w15:val="{51E6FAD7-5109-3D41-ADFF-ECB82DCF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5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6DC"/>
    <w:rPr>
      <w:color w:val="0563C1" w:themeColor="hyperlink"/>
      <w:u w:val="single"/>
    </w:rPr>
  </w:style>
  <w:style w:type="character" w:styleId="UnresolvedMention">
    <w:name w:val="Unresolved Mention"/>
    <w:basedOn w:val="DefaultParagraphFont"/>
    <w:uiPriority w:val="99"/>
    <w:semiHidden/>
    <w:unhideWhenUsed/>
    <w:rsid w:val="00EE36DC"/>
    <w:rPr>
      <w:color w:val="605E5C"/>
      <w:shd w:val="clear" w:color="auto" w:fill="E1DFDD"/>
    </w:rPr>
  </w:style>
  <w:style w:type="paragraph" w:styleId="ListParagraph">
    <w:name w:val="List Paragraph"/>
    <w:basedOn w:val="Normal"/>
    <w:uiPriority w:val="34"/>
    <w:qFormat/>
    <w:rsid w:val="00B5360E"/>
    <w:pPr>
      <w:ind w:left="720"/>
      <w:contextualSpacing/>
    </w:pPr>
  </w:style>
  <w:style w:type="character" w:styleId="FollowedHyperlink">
    <w:name w:val="FollowedHyperlink"/>
    <w:basedOn w:val="DefaultParagraphFont"/>
    <w:uiPriority w:val="99"/>
    <w:semiHidden/>
    <w:unhideWhenUsed/>
    <w:rsid w:val="00C96A09"/>
    <w:rPr>
      <w:color w:val="954F72" w:themeColor="followedHyperlink"/>
      <w:u w:val="single"/>
    </w:rPr>
  </w:style>
  <w:style w:type="paragraph" w:styleId="NormalWeb">
    <w:name w:val="Normal (Web)"/>
    <w:basedOn w:val="Normal"/>
    <w:uiPriority w:val="99"/>
    <w:unhideWhenUsed/>
    <w:rsid w:val="003D64C0"/>
    <w:pPr>
      <w:spacing w:before="100" w:beforeAutospacing="1" w:after="100" w:afterAutospacing="1"/>
    </w:pPr>
  </w:style>
  <w:style w:type="paragraph" w:styleId="FootnoteText">
    <w:name w:val="footnote text"/>
    <w:basedOn w:val="Normal"/>
    <w:link w:val="FootnoteTextChar"/>
    <w:uiPriority w:val="99"/>
    <w:semiHidden/>
    <w:unhideWhenUsed/>
    <w:rsid w:val="00392719"/>
    <w:rPr>
      <w:sz w:val="20"/>
      <w:szCs w:val="20"/>
    </w:rPr>
  </w:style>
  <w:style w:type="character" w:customStyle="1" w:styleId="FootnoteTextChar">
    <w:name w:val="Footnote Text Char"/>
    <w:basedOn w:val="DefaultParagraphFont"/>
    <w:link w:val="FootnoteText"/>
    <w:uiPriority w:val="99"/>
    <w:semiHidden/>
    <w:rsid w:val="00392719"/>
    <w:rPr>
      <w:sz w:val="20"/>
      <w:szCs w:val="20"/>
    </w:rPr>
  </w:style>
  <w:style w:type="character" w:styleId="FootnoteReference">
    <w:name w:val="footnote reference"/>
    <w:basedOn w:val="DefaultParagraphFont"/>
    <w:uiPriority w:val="99"/>
    <w:semiHidden/>
    <w:unhideWhenUsed/>
    <w:rsid w:val="00392719"/>
    <w:rPr>
      <w:vertAlign w:val="superscript"/>
    </w:rPr>
  </w:style>
  <w:style w:type="table" w:styleId="TableGrid">
    <w:name w:val="Table Grid"/>
    <w:basedOn w:val="TableNormal"/>
    <w:uiPriority w:val="39"/>
    <w:rsid w:val="00F95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2F23"/>
    <w:pPr>
      <w:tabs>
        <w:tab w:val="center" w:pos="4680"/>
        <w:tab w:val="right" w:pos="9360"/>
      </w:tabs>
    </w:pPr>
  </w:style>
  <w:style w:type="character" w:customStyle="1" w:styleId="HeaderChar">
    <w:name w:val="Header Char"/>
    <w:basedOn w:val="DefaultParagraphFont"/>
    <w:link w:val="Header"/>
    <w:uiPriority w:val="99"/>
    <w:rsid w:val="00462F23"/>
    <w:rPr>
      <w:rFonts w:ascii="Times New Roman" w:eastAsia="Times New Roman" w:hAnsi="Times New Roman" w:cs="Times New Roman"/>
    </w:rPr>
  </w:style>
  <w:style w:type="paragraph" w:styleId="Footer">
    <w:name w:val="footer"/>
    <w:basedOn w:val="Normal"/>
    <w:link w:val="FooterChar"/>
    <w:uiPriority w:val="99"/>
    <w:unhideWhenUsed/>
    <w:rsid w:val="00462F23"/>
    <w:pPr>
      <w:tabs>
        <w:tab w:val="center" w:pos="4680"/>
        <w:tab w:val="right" w:pos="9360"/>
      </w:tabs>
    </w:pPr>
  </w:style>
  <w:style w:type="character" w:customStyle="1" w:styleId="FooterChar">
    <w:name w:val="Footer Char"/>
    <w:basedOn w:val="DefaultParagraphFont"/>
    <w:link w:val="Footer"/>
    <w:uiPriority w:val="99"/>
    <w:rsid w:val="00462F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351">
      <w:bodyDiv w:val="1"/>
      <w:marLeft w:val="0"/>
      <w:marRight w:val="0"/>
      <w:marTop w:val="0"/>
      <w:marBottom w:val="0"/>
      <w:divBdr>
        <w:top w:val="none" w:sz="0" w:space="0" w:color="auto"/>
        <w:left w:val="none" w:sz="0" w:space="0" w:color="auto"/>
        <w:bottom w:val="none" w:sz="0" w:space="0" w:color="auto"/>
        <w:right w:val="none" w:sz="0" w:space="0" w:color="auto"/>
      </w:divBdr>
    </w:div>
    <w:div w:id="5719324">
      <w:bodyDiv w:val="1"/>
      <w:marLeft w:val="0"/>
      <w:marRight w:val="0"/>
      <w:marTop w:val="0"/>
      <w:marBottom w:val="0"/>
      <w:divBdr>
        <w:top w:val="none" w:sz="0" w:space="0" w:color="auto"/>
        <w:left w:val="none" w:sz="0" w:space="0" w:color="auto"/>
        <w:bottom w:val="none" w:sz="0" w:space="0" w:color="auto"/>
        <w:right w:val="none" w:sz="0" w:space="0" w:color="auto"/>
      </w:divBdr>
    </w:div>
    <w:div w:id="6518794">
      <w:bodyDiv w:val="1"/>
      <w:marLeft w:val="0"/>
      <w:marRight w:val="0"/>
      <w:marTop w:val="0"/>
      <w:marBottom w:val="0"/>
      <w:divBdr>
        <w:top w:val="none" w:sz="0" w:space="0" w:color="auto"/>
        <w:left w:val="none" w:sz="0" w:space="0" w:color="auto"/>
        <w:bottom w:val="none" w:sz="0" w:space="0" w:color="auto"/>
        <w:right w:val="none" w:sz="0" w:space="0" w:color="auto"/>
      </w:divBdr>
    </w:div>
    <w:div w:id="17435174">
      <w:bodyDiv w:val="1"/>
      <w:marLeft w:val="0"/>
      <w:marRight w:val="0"/>
      <w:marTop w:val="0"/>
      <w:marBottom w:val="0"/>
      <w:divBdr>
        <w:top w:val="none" w:sz="0" w:space="0" w:color="auto"/>
        <w:left w:val="none" w:sz="0" w:space="0" w:color="auto"/>
        <w:bottom w:val="none" w:sz="0" w:space="0" w:color="auto"/>
        <w:right w:val="none" w:sz="0" w:space="0" w:color="auto"/>
      </w:divBdr>
    </w:div>
    <w:div w:id="38746222">
      <w:bodyDiv w:val="1"/>
      <w:marLeft w:val="0"/>
      <w:marRight w:val="0"/>
      <w:marTop w:val="0"/>
      <w:marBottom w:val="0"/>
      <w:divBdr>
        <w:top w:val="none" w:sz="0" w:space="0" w:color="auto"/>
        <w:left w:val="none" w:sz="0" w:space="0" w:color="auto"/>
        <w:bottom w:val="none" w:sz="0" w:space="0" w:color="auto"/>
        <w:right w:val="none" w:sz="0" w:space="0" w:color="auto"/>
      </w:divBdr>
    </w:div>
    <w:div w:id="59251576">
      <w:bodyDiv w:val="1"/>
      <w:marLeft w:val="0"/>
      <w:marRight w:val="0"/>
      <w:marTop w:val="0"/>
      <w:marBottom w:val="0"/>
      <w:divBdr>
        <w:top w:val="none" w:sz="0" w:space="0" w:color="auto"/>
        <w:left w:val="none" w:sz="0" w:space="0" w:color="auto"/>
        <w:bottom w:val="none" w:sz="0" w:space="0" w:color="auto"/>
        <w:right w:val="none" w:sz="0" w:space="0" w:color="auto"/>
      </w:divBdr>
    </w:div>
    <w:div w:id="72821905">
      <w:bodyDiv w:val="1"/>
      <w:marLeft w:val="0"/>
      <w:marRight w:val="0"/>
      <w:marTop w:val="0"/>
      <w:marBottom w:val="0"/>
      <w:divBdr>
        <w:top w:val="none" w:sz="0" w:space="0" w:color="auto"/>
        <w:left w:val="none" w:sz="0" w:space="0" w:color="auto"/>
        <w:bottom w:val="none" w:sz="0" w:space="0" w:color="auto"/>
        <w:right w:val="none" w:sz="0" w:space="0" w:color="auto"/>
      </w:divBdr>
    </w:div>
    <w:div w:id="81606092">
      <w:bodyDiv w:val="1"/>
      <w:marLeft w:val="0"/>
      <w:marRight w:val="0"/>
      <w:marTop w:val="0"/>
      <w:marBottom w:val="0"/>
      <w:divBdr>
        <w:top w:val="none" w:sz="0" w:space="0" w:color="auto"/>
        <w:left w:val="none" w:sz="0" w:space="0" w:color="auto"/>
        <w:bottom w:val="none" w:sz="0" w:space="0" w:color="auto"/>
        <w:right w:val="none" w:sz="0" w:space="0" w:color="auto"/>
      </w:divBdr>
    </w:div>
    <w:div w:id="102967144">
      <w:bodyDiv w:val="1"/>
      <w:marLeft w:val="0"/>
      <w:marRight w:val="0"/>
      <w:marTop w:val="0"/>
      <w:marBottom w:val="0"/>
      <w:divBdr>
        <w:top w:val="none" w:sz="0" w:space="0" w:color="auto"/>
        <w:left w:val="none" w:sz="0" w:space="0" w:color="auto"/>
        <w:bottom w:val="none" w:sz="0" w:space="0" w:color="auto"/>
        <w:right w:val="none" w:sz="0" w:space="0" w:color="auto"/>
      </w:divBdr>
    </w:div>
    <w:div w:id="104468050">
      <w:bodyDiv w:val="1"/>
      <w:marLeft w:val="0"/>
      <w:marRight w:val="0"/>
      <w:marTop w:val="0"/>
      <w:marBottom w:val="0"/>
      <w:divBdr>
        <w:top w:val="none" w:sz="0" w:space="0" w:color="auto"/>
        <w:left w:val="none" w:sz="0" w:space="0" w:color="auto"/>
        <w:bottom w:val="none" w:sz="0" w:space="0" w:color="auto"/>
        <w:right w:val="none" w:sz="0" w:space="0" w:color="auto"/>
      </w:divBdr>
    </w:div>
    <w:div w:id="113525801">
      <w:bodyDiv w:val="1"/>
      <w:marLeft w:val="0"/>
      <w:marRight w:val="0"/>
      <w:marTop w:val="0"/>
      <w:marBottom w:val="0"/>
      <w:divBdr>
        <w:top w:val="none" w:sz="0" w:space="0" w:color="auto"/>
        <w:left w:val="none" w:sz="0" w:space="0" w:color="auto"/>
        <w:bottom w:val="none" w:sz="0" w:space="0" w:color="auto"/>
        <w:right w:val="none" w:sz="0" w:space="0" w:color="auto"/>
      </w:divBdr>
    </w:div>
    <w:div w:id="125852215">
      <w:bodyDiv w:val="1"/>
      <w:marLeft w:val="0"/>
      <w:marRight w:val="0"/>
      <w:marTop w:val="0"/>
      <w:marBottom w:val="0"/>
      <w:divBdr>
        <w:top w:val="none" w:sz="0" w:space="0" w:color="auto"/>
        <w:left w:val="none" w:sz="0" w:space="0" w:color="auto"/>
        <w:bottom w:val="none" w:sz="0" w:space="0" w:color="auto"/>
        <w:right w:val="none" w:sz="0" w:space="0" w:color="auto"/>
      </w:divBdr>
    </w:div>
    <w:div w:id="130752736">
      <w:bodyDiv w:val="1"/>
      <w:marLeft w:val="0"/>
      <w:marRight w:val="0"/>
      <w:marTop w:val="0"/>
      <w:marBottom w:val="0"/>
      <w:divBdr>
        <w:top w:val="none" w:sz="0" w:space="0" w:color="auto"/>
        <w:left w:val="none" w:sz="0" w:space="0" w:color="auto"/>
        <w:bottom w:val="none" w:sz="0" w:space="0" w:color="auto"/>
        <w:right w:val="none" w:sz="0" w:space="0" w:color="auto"/>
      </w:divBdr>
    </w:div>
    <w:div w:id="137966622">
      <w:bodyDiv w:val="1"/>
      <w:marLeft w:val="0"/>
      <w:marRight w:val="0"/>
      <w:marTop w:val="0"/>
      <w:marBottom w:val="0"/>
      <w:divBdr>
        <w:top w:val="none" w:sz="0" w:space="0" w:color="auto"/>
        <w:left w:val="none" w:sz="0" w:space="0" w:color="auto"/>
        <w:bottom w:val="none" w:sz="0" w:space="0" w:color="auto"/>
        <w:right w:val="none" w:sz="0" w:space="0" w:color="auto"/>
      </w:divBdr>
    </w:div>
    <w:div w:id="157574773">
      <w:bodyDiv w:val="1"/>
      <w:marLeft w:val="0"/>
      <w:marRight w:val="0"/>
      <w:marTop w:val="0"/>
      <w:marBottom w:val="0"/>
      <w:divBdr>
        <w:top w:val="none" w:sz="0" w:space="0" w:color="auto"/>
        <w:left w:val="none" w:sz="0" w:space="0" w:color="auto"/>
        <w:bottom w:val="none" w:sz="0" w:space="0" w:color="auto"/>
        <w:right w:val="none" w:sz="0" w:space="0" w:color="auto"/>
      </w:divBdr>
    </w:div>
    <w:div w:id="160196843">
      <w:bodyDiv w:val="1"/>
      <w:marLeft w:val="0"/>
      <w:marRight w:val="0"/>
      <w:marTop w:val="0"/>
      <w:marBottom w:val="0"/>
      <w:divBdr>
        <w:top w:val="none" w:sz="0" w:space="0" w:color="auto"/>
        <w:left w:val="none" w:sz="0" w:space="0" w:color="auto"/>
        <w:bottom w:val="none" w:sz="0" w:space="0" w:color="auto"/>
        <w:right w:val="none" w:sz="0" w:space="0" w:color="auto"/>
      </w:divBdr>
    </w:div>
    <w:div w:id="207954428">
      <w:bodyDiv w:val="1"/>
      <w:marLeft w:val="0"/>
      <w:marRight w:val="0"/>
      <w:marTop w:val="0"/>
      <w:marBottom w:val="0"/>
      <w:divBdr>
        <w:top w:val="none" w:sz="0" w:space="0" w:color="auto"/>
        <w:left w:val="none" w:sz="0" w:space="0" w:color="auto"/>
        <w:bottom w:val="none" w:sz="0" w:space="0" w:color="auto"/>
        <w:right w:val="none" w:sz="0" w:space="0" w:color="auto"/>
      </w:divBdr>
    </w:div>
    <w:div w:id="244344358">
      <w:bodyDiv w:val="1"/>
      <w:marLeft w:val="0"/>
      <w:marRight w:val="0"/>
      <w:marTop w:val="0"/>
      <w:marBottom w:val="0"/>
      <w:divBdr>
        <w:top w:val="none" w:sz="0" w:space="0" w:color="auto"/>
        <w:left w:val="none" w:sz="0" w:space="0" w:color="auto"/>
        <w:bottom w:val="none" w:sz="0" w:space="0" w:color="auto"/>
        <w:right w:val="none" w:sz="0" w:space="0" w:color="auto"/>
      </w:divBdr>
    </w:div>
    <w:div w:id="259721777">
      <w:bodyDiv w:val="1"/>
      <w:marLeft w:val="0"/>
      <w:marRight w:val="0"/>
      <w:marTop w:val="0"/>
      <w:marBottom w:val="0"/>
      <w:divBdr>
        <w:top w:val="none" w:sz="0" w:space="0" w:color="auto"/>
        <w:left w:val="none" w:sz="0" w:space="0" w:color="auto"/>
        <w:bottom w:val="none" w:sz="0" w:space="0" w:color="auto"/>
        <w:right w:val="none" w:sz="0" w:space="0" w:color="auto"/>
      </w:divBdr>
    </w:div>
    <w:div w:id="270665861">
      <w:bodyDiv w:val="1"/>
      <w:marLeft w:val="0"/>
      <w:marRight w:val="0"/>
      <w:marTop w:val="0"/>
      <w:marBottom w:val="0"/>
      <w:divBdr>
        <w:top w:val="none" w:sz="0" w:space="0" w:color="auto"/>
        <w:left w:val="none" w:sz="0" w:space="0" w:color="auto"/>
        <w:bottom w:val="none" w:sz="0" w:space="0" w:color="auto"/>
        <w:right w:val="none" w:sz="0" w:space="0" w:color="auto"/>
      </w:divBdr>
    </w:div>
    <w:div w:id="290400082">
      <w:bodyDiv w:val="1"/>
      <w:marLeft w:val="0"/>
      <w:marRight w:val="0"/>
      <w:marTop w:val="0"/>
      <w:marBottom w:val="0"/>
      <w:divBdr>
        <w:top w:val="none" w:sz="0" w:space="0" w:color="auto"/>
        <w:left w:val="none" w:sz="0" w:space="0" w:color="auto"/>
        <w:bottom w:val="none" w:sz="0" w:space="0" w:color="auto"/>
        <w:right w:val="none" w:sz="0" w:space="0" w:color="auto"/>
      </w:divBdr>
    </w:div>
    <w:div w:id="291833618">
      <w:bodyDiv w:val="1"/>
      <w:marLeft w:val="0"/>
      <w:marRight w:val="0"/>
      <w:marTop w:val="0"/>
      <w:marBottom w:val="0"/>
      <w:divBdr>
        <w:top w:val="none" w:sz="0" w:space="0" w:color="auto"/>
        <w:left w:val="none" w:sz="0" w:space="0" w:color="auto"/>
        <w:bottom w:val="none" w:sz="0" w:space="0" w:color="auto"/>
        <w:right w:val="none" w:sz="0" w:space="0" w:color="auto"/>
      </w:divBdr>
    </w:div>
    <w:div w:id="303581341">
      <w:bodyDiv w:val="1"/>
      <w:marLeft w:val="0"/>
      <w:marRight w:val="0"/>
      <w:marTop w:val="0"/>
      <w:marBottom w:val="0"/>
      <w:divBdr>
        <w:top w:val="none" w:sz="0" w:space="0" w:color="auto"/>
        <w:left w:val="none" w:sz="0" w:space="0" w:color="auto"/>
        <w:bottom w:val="none" w:sz="0" w:space="0" w:color="auto"/>
        <w:right w:val="none" w:sz="0" w:space="0" w:color="auto"/>
      </w:divBdr>
    </w:div>
    <w:div w:id="320428136">
      <w:bodyDiv w:val="1"/>
      <w:marLeft w:val="0"/>
      <w:marRight w:val="0"/>
      <w:marTop w:val="0"/>
      <w:marBottom w:val="0"/>
      <w:divBdr>
        <w:top w:val="none" w:sz="0" w:space="0" w:color="auto"/>
        <w:left w:val="none" w:sz="0" w:space="0" w:color="auto"/>
        <w:bottom w:val="none" w:sz="0" w:space="0" w:color="auto"/>
        <w:right w:val="none" w:sz="0" w:space="0" w:color="auto"/>
      </w:divBdr>
    </w:div>
    <w:div w:id="339815241">
      <w:bodyDiv w:val="1"/>
      <w:marLeft w:val="0"/>
      <w:marRight w:val="0"/>
      <w:marTop w:val="0"/>
      <w:marBottom w:val="0"/>
      <w:divBdr>
        <w:top w:val="none" w:sz="0" w:space="0" w:color="auto"/>
        <w:left w:val="none" w:sz="0" w:space="0" w:color="auto"/>
        <w:bottom w:val="none" w:sz="0" w:space="0" w:color="auto"/>
        <w:right w:val="none" w:sz="0" w:space="0" w:color="auto"/>
      </w:divBdr>
    </w:div>
    <w:div w:id="341321522">
      <w:bodyDiv w:val="1"/>
      <w:marLeft w:val="0"/>
      <w:marRight w:val="0"/>
      <w:marTop w:val="0"/>
      <w:marBottom w:val="0"/>
      <w:divBdr>
        <w:top w:val="none" w:sz="0" w:space="0" w:color="auto"/>
        <w:left w:val="none" w:sz="0" w:space="0" w:color="auto"/>
        <w:bottom w:val="none" w:sz="0" w:space="0" w:color="auto"/>
        <w:right w:val="none" w:sz="0" w:space="0" w:color="auto"/>
      </w:divBdr>
    </w:div>
    <w:div w:id="347370469">
      <w:bodyDiv w:val="1"/>
      <w:marLeft w:val="0"/>
      <w:marRight w:val="0"/>
      <w:marTop w:val="0"/>
      <w:marBottom w:val="0"/>
      <w:divBdr>
        <w:top w:val="none" w:sz="0" w:space="0" w:color="auto"/>
        <w:left w:val="none" w:sz="0" w:space="0" w:color="auto"/>
        <w:bottom w:val="none" w:sz="0" w:space="0" w:color="auto"/>
        <w:right w:val="none" w:sz="0" w:space="0" w:color="auto"/>
      </w:divBdr>
    </w:div>
    <w:div w:id="361369120">
      <w:bodyDiv w:val="1"/>
      <w:marLeft w:val="0"/>
      <w:marRight w:val="0"/>
      <w:marTop w:val="0"/>
      <w:marBottom w:val="0"/>
      <w:divBdr>
        <w:top w:val="none" w:sz="0" w:space="0" w:color="auto"/>
        <w:left w:val="none" w:sz="0" w:space="0" w:color="auto"/>
        <w:bottom w:val="none" w:sz="0" w:space="0" w:color="auto"/>
        <w:right w:val="none" w:sz="0" w:space="0" w:color="auto"/>
      </w:divBdr>
    </w:div>
    <w:div w:id="377245094">
      <w:bodyDiv w:val="1"/>
      <w:marLeft w:val="0"/>
      <w:marRight w:val="0"/>
      <w:marTop w:val="0"/>
      <w:marBottom w:val="0"/>
      <w:divBdr>
        <w:top w:val="none" w:sz="0" w:space="0" w:color="auto"/>
        <w:left w:val="none" w:sz="0" w:space="0" w:color="auto"/>
        <w:bottom w:val="none" w:sz="0" w:space="0" w:color="auto"/>
        <w:right w:val="none" w:sz="0" w:space="0" w:color="auto"/>
      </w:divBdr>
    </w:div>
    <w:div w:id="389693075">
      <w:bodyDiv w:val="1"/>
      <w:marLeft w:val="0"/>
      <w:marRight w:val="0"/>
      <w:marTop w:val="0"/>
      <w:marBottom w:val="0"/>
      <w:divBdr>
        <w:top w:val="none" w:sz="0" w:space="0" w:color="auto"/>
        <w:left w:val="none" w:sz="0" w:space="0" w:color="auto"/>
        <w:bottom w:val="none" w:sz="0" w:space="0" w:color="auto"/>
        <w:right w:val="none" w:sz="0" w:space="0" w:color="auto"/>
      </w:divBdr>
    </w:div>
    <w:div w:id="391389505">
      <w:bodyDiv w:val="1"/>
      <w:marLeft w:val="0"/>
      <w:marRight w:val="0"/>
      <w:marTop w:val="0"/>
      <w:marBottom w:val="0"/>
      <w:divBdr>
        <w:top w:val="none" w:sz="0" w:space="0" w:color="auto"/>
        <w:left w:val="none" w:sz="0" w:space="0" w:color="auto"/>
        <w:bottom w:val="none" w:sz="0" w:space="0" w:color="auto"/>
        <w:right w:val="none" w:sz="0" w:space="0" w:color="auto"/>
      </w:divBdr>
    </w:div>
    <w:div w:id="417944755">
      <w:bodyDiv w:val="1"/>
      <w:marLeft w:val="0"/>
      <w:marRight w:val="0"/>
      <w:marTop w:val="0"/>
      <w:marBottom w:val="0"/>
      <w:divBdr>
        <w:top w:val="none" w:sz="0" w:space="0" w:color="auto"/>
        <w:left w:val="none" w:sz="0" w:space="0" w:color="auto"/>
        <w:bottom w:val="none" w:sz="0" w:space="0" w:color="auto"/>
        <w:right w:val="none" w:sz="0" w:space="0" w:color="auto"/>
      </w:divBdr>
    </w:div>
    <w:div w:id="438718787">
      <w:bodyDiv w:val="1"/>
      <w:marLeft w:val="0"/>
      <w:marRight w:val="0"/>
      <w:marTop w:val="0"/>
      <w:marBottom w:val="0"/>
      <w:divBdr>
        <w:top w:val="none" w:sz="0" w:space="0" w:color="auto"/>
        <w:left w:val="none" w:sz="0" w:space="0" w:color="auto"/>
        <w:bottom w:val="none" w:sz="0" w:space="0" w:color="auto"/>
        <w:right w:val="none" w:sz="0" w:space="0" w:color="auto"/>
      </w:divBdr>
    </w:div>
    <w:div w:id="438988393">
      <w:bodyDiv w:val="1"/>
      <w:marLeft w:val="0"/>
      <w:marRight w:val="0"/>
      <w:marTop w:val="0"/>
      <w:marBottom w:val="0"/>
      <w:divBdr>
        <w:top w:val="none" w:sz="0" w:space="0" w:color="auto"/>
        <w:left w:val="none" w:sz="0" w:space="0" w:color="auto"/>
        <w:bottom w:val="none" w:sz="0" w:space="0" w:color="auto"/>
        <w:right w:val="none" w:sz="0" w:space="0" w:color="auto"/>
      </w:divBdr>
    </w:div>
    <w:div w:id="445737731">
      <w:bodyDiv w:val="1"/>
      <w:marLeft w:val="0"/>
      <w:marRight w:val="0"/>
      <w:marTop w:val="0"/>
      <w:marBottom w:val="0"/>
      <w:divBdr>
        <w:top w:val="none" w:sz="0" w:space="0" w:color="auto"/>
        <w:left w:val="none" w:sz="0" w:space="0" w:color="auto"/>
        <w:bottom w:val="none" w:sz="0" w:space="0" w:color="auto"/>
        <w:right w:val="none" w:sz="0" w:space="0" w:color="auto"/>
      </w:divBdr>
    </w:div>
    <w:div w:id="453912453">
      <w:bodyDiv w:val="1"/>
      <w:marLeft w:val="0"/>
      <w:marRight w:val="0"/>
      <w:marTop w:val="0"/>
      <w:marBottom w:val="0"/>
      <w:divBdr>
        <w:top w:val="none" w:sz="0" w:space="0" w:color="auto"/>
        <w:left w:val="none" w:sz="0" w:space="0" w:color="auto"/>
        <w:bottom w:val="none" w:sz="0" w:space="0" w:color="auto"/>
        <w:right w:val="none" w:sz="0" w:space="0" w:color="auto"/>
      </w:divBdr>
    </w:div>
    <w:div w:id="454568862">
      <w:bodyDiv w:val="1"/>
      <w:marLeft w:val="0"/>
      <w:marRight w:val="0"/>
      <w:marTop w:val="0"/>
      <w:marBottom w:val="0"/>
      <w:divBdr>
        <w:top w:val="none" w:sz="0" w:space="0" w:color="auto"/>
        <w:left w:val="none" w:sz="0" w:space="0" w:color="auto"/>
        <w:bottom w:val="none" w:sz="0" w:space="0" w:color="auto"/>
        <w:right w:val="none" w:sz="0" w:space="0" w:color="auto"/>
      </w:divBdr>
    </w:div>
    <w:div w:id="460995556">
      <w:bodyDiv w:val="1"/>
      <w:marLeft w:val="0"/>
      <w:marRight w:val="0"/>
      <w:marTop w:val="0"/>
      <w:marBottom w:val="0"/>
      <w:divBdr>
        <w:top w:val="none" w:sz="0" w:space="0" w:color="auto"/>
        <w:left w:val="none" w:sz="0" w:space="0" w:color="auto"/>
        <w:bottom w:val="none" w:sz="0" w:space="0" w:color="auto"/>
        <w:right w:val="none" w:sz="0" w:space="0" w:color="auto"/>
      </w:divBdr>
    </w:div>
    <w:div w:id="516620849">
      <w:bodyDiv w:val="1"/>
      <w:marLeft w:val="0"/>
      <w:marRight w:val="0"/>
      <w:marTop w:val="0"/>
      <w:marBottom w:val="0"/>
      <w:divBdr>
        <w:top w:val="none" w:sz="0" w:space="0" w:color="auto"/>
        <w:left w:val="none" w:sz="0" w:space="0" w:color="auto"/>
        <w:bottom w:val="none" w:sz="0" w:space="0" w:color="auto"/>
        <w:right w:val="none" w:sz="0" w:space="0" w:color="auto"/>
      </w:divBdr>
    </w:div>
    <w:div w:id="517350438">
      <w:bodyDiv w:val="1"/>
      <w:marLeft w:val="0"/>
      <w:marRight w:val="0"/>
      <w:marTop w:val="0"/>
      <w:marBottom w:val="0"/>
      <w:divBdr>
        <w:top w:val="none" w:sz="0" w:space="0" w:color="auto"/>
        <w:left w:val="none" w:sz="0" w:space="0" w:color="auto"/>
        <w:bottom w:val="none" w:sz="0" w:space="0" w:color="auto"/>
        <w:right w:val="none" w:sz="0" w:space="0" w:color="auto"/>
      </w:divBdr>
    </w:div>
    <w:div w:id="524441583">
      <w:bodyDiv w:val="1"/>
      <w:marLeft w:val="0"/>
      <w:marRight w:val="0"/>
      <w:marTop w:val="0"/>
      <w:marBottom w:val="0"/>
      <w:divBdr>
        <w:top w:val="none" w:sz="0" w:space="0" w:color="auto"/>
        <w:left w:val="none" w:sz="0" w:space="0" w:color="auto"/>
        <w:bottom w:val="none" w:sz="0" w:space="0" w:color="auto"/>
        <w:right w:val="none" w:sz="0" w:space="0" w:color="auto"/>
      </w:divBdr>
    </w:div>
    <w:div w:id="529731300">
      <w:bodyDiv w:val="1"/>
      <w:marLeft w:val="0"/>
      <w:marRight w:val="0"/>
      <w:marTop w:val="0"/>
      <w:marBottom w:val="0"/>
      <w:divBdr>
        <w:top w:val="none" w:sz="0" w:space="0" w:color="auto"/>
        <w:left w:val="none" w:sz="0" w:space="0" w:color="auto"/>
        <w:bottom w:val="none" w:sz="0" w:space="0" w:color="auto"/>
        <w:right w:val="none" w:sz="0" w:space="0" w:color="auto"/>
      </w:divBdr>
    </w:div>
    <w:div w:id="545411473">
      <w:bodyDiv w:val="1"/>
      <w:marLeft w:val="0"/>
      <w:marRight w:val="0"/>
      <w:marTop w:val="0"/>
      <w:marBottom w:val="0"/>
      <w:divBdr>
        <w:top w:val="none" w:sz="0" w:space="0" w:color="auto"/>
        <w:left w:val="none" w:sz="0" w:space="0" w:color="auto"/>
        <w:bottom w:val="none" w:sz="0" w:space="0" w:color="auto"/>
        <w:right w:val="none" w:sz="0" w:space="0" w:color="auto"/>
      </w:divBdr>
      <w:divsChild>
        <w:div w:id="337270511">
          <w:marLeft w:val="0"/>
          <w:marRight w:val="0"/>
          <w:marTop w:val="0"/>
          <w:marBottom w:val="0"/>
          <w:divBdr>
            <w:top w:val="none" w:sz="0" w:space="0" w:color="auto"/>
            <w:left w:val="none" w:sz="0" w:space="0" w:color="auto"/>
            <w:bottom w:val="none" w:sz="0" w:space="0" w:color="auto"/>
            <w:right w:val="none" w:sz="0" w:space="0" w:color="auto"/>
          </w:divBdr>
          <w:divsChild>
            <w:div w:id="1222785469">
              <w:marLeft w:val="0"/>
              <w:marRight w:val="0"/>
              <w:marTop w:val="0"/>
              <w:marBottom w:val="0"/>
              <w:divBdr>
                <w:top w:val="none" w:sz="0" w:space="0" w:color="auto"/>
                <w:left w:val="none" w:sz="0" w:space="0" w:color="auto"/>
                <w:bottom w:val="none" w:sz="0" w:space="0" w:color="auto"/>
                <w:right w:val="none" w:sz="0" w:space="0" w:color="auto"/>
              </w:divBdr>
              <w:divsChild>
                <w:div w:id="20827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09357">
      <w:bodyDiv w:val="1"/>
      <w:marLeft w:val="0"/>
      <w:marRight w:val="0"/>
      <w:marTop w:val="0"/>
      <w:marBottom w:val="0"/>
      <w:divBdr>
        <w:top w:val="none" w:sz="0" w:space="0" w:color="auto"/>
        <w:left w:val="none" w:sz="0" w:space="0" w:color="auto"/>
        <w:bottom w:val="none" w:sz="0" w:space="0" w:color="auto"/>
        <w:right w:val="none" w:sz="0" w:space="0" w:color="auto"/>
      </w:divBdr>
    </w:div>
    <w:div w:id="609433777">
      <w:bodyDiv w:val="1"/>
      <w:marLeft w:val="0"/>
      <w:marRight w:val="0"/>
      <w:marTop w:val="0"/>
      <w:marBottom w:val="0"/>
      <w:divBdr>
        <w:top w:val="none" w:sz="0" w:space="0" w:color="auto"/>
        <w:left w:val="none" w:sz="0" w:space="0" w:color="auto"/>
        <w:bottom w:val="none" w:sz="0" w:space="0" w:color="auto"/>
        <w:right w:val="none" w:sz="0" w:space="0" w:color="auto"/>
      </w:divBdr>
    </w:div>
    <w:div w:id="618994644">
      <w:bodyDiv w:val="1"/>
      <w:marLeft w:val="0"/>
      <w:marRight w:val="0"/>
      <w:marTop w:val="0"/>
      <w:marBottom w:val="0"/>
      <w:divBdr>
        <w:top w:val="none" w:sz="0" w:space="0" w:color="auto"/>
        <w:left w:val="none" w:sz="0" w:space="0" w:color="auto"/>
        <w:bottom w:val="none" w:sz="0" w:space="0" w:color="auto"/>
        <w:right w:val="none" w:sz="0" w:space="0" w:color="auto"/>
      </w:divBdr>
    </w:div>
    <w:div w:id="626788083">
      <w:bodyDiv w:val="1"/>
      <w:marLeft w:val="0"/>
      <w:marRight w:val="0"/>
      <w:marTop w:val="0"/>
      <w:marBottom w:val="0"/>
      <w:divBdr>
        <w:top w:val="none" w:sz="0" w:space="0" w:color="auto"/>
        <w:left w:val="none" w:sz="0" w:space="0" w:color="auto"/>
        <w:bottom w:val="none" w:sz="0" w:space="0" w:color="auto"/>
        <w:right w:val="none" w:sz="0" w:space="0" w:color="auto"/>
      </w:divBdr>
    </w:div>
    <w:div w:id="632294639">
      <w:bodyDiv w:val="1"/>
      <w:marLeft w:val="0"/>
      <w:marRight w:val="0"/>
      <w:marTop w:val="0"/>
      <w:marBottom w:val="0"/>
      <w:divBdr>
        <w:top w:val="none" w:sz="0" w:space="0" w:color="auto"/>
        <w:left w:val="none" w:sz="0" w:space="0" w:color="auto"/>
        <w:bottom w:val="none" w:sz="0" w:space="0" w:color="auto"/>
        <w:right w:val="none" w:sz="0" w:space="0" w:color="auto"/>
      </w:divBdr>
    </w:div>
    <w:div w:id="657222365">
      <w:bodyDiv w:val="1"/>
      <w:marLeft w:val="0"/>
      <w:marRight w:val="0"/>
      <w:marTop w:val="0"/>
      <w:marBottom w:val="0"/>
      <w:divBdr>
        <w:top w:val="none" w:sz="0" w:space="0" w:color="auto"/>
        <w:left w:val="none" w:sz="0" w:space="0" w:color="auto"/>
        <w:bottom w:val="none" w:sz="0" w:space="0" w:color="auto"/>
        <w:right w:val="none" w:sz="0" w:space="0" w:color="auto"/>
      </w:divBdr>
    </w:div>
    <w:div w:id="683553040">
      <w:bodyDiv w:val="1"/>
      <w:marLeft w:val="0"/>
      <w:marRight w:val="0"/>
      <w:marTop w:val="0"/>
      <w:marBottom w:val="0"/>
      <w:divBdr>
        <w:top w:val="none" w:sz="0" w:space="0" w:color="auto"/>
        <w:left w:val="none" w:sz="0" w:space="0" w:color="auto"/>
        <w:bottom w:val="none" w:sz="0" w:space="0" w:color="auto"/>
        <w:right w:val="none" w:sz="0" w:space="0" w:color="auto"/>
      </w:divBdr>
    </w:div>
    <w:div w:id="696083821">
      <w:bodyDiv w:val="1"/>
      <w:marLeft w:val="0"/>
      <w:marRight w:val="0"/>
      <w:marTop w:val="0"/>
      <w:marBottom w:val="0"/>
      <w:divBdr>
        <w:top w:val="none" w:sz="0" w:space="0" w:color="auto"/>
        <w:left w:val="none" w:sz="0" w:space="0" w:color="auto"/>
        <w:bottom w:val="none" w:sz="0" w:space="0" w:color="auto"/>
        <w:right w:val="none" w:sz="0" w:space="0" w:color="auto"/>
      </w:divBdr>
    </w:div>
    <w:div w:id="711273188">
      <w:bodyDiv w:val="1"/>
      <w:marLeft w:val="0"/>
      <w:marRight w:val="0"/>
      <w:marTop w:val="0"/>
      <w:marBottom w:val="0"/>
      <w:divBdr>
        <w:top w:val="none" w:sz="0" w:space="0" w:color="auto"/>
        <w:left w:val="none" w:sz="0" w:space="0" w:color="auto"/>
        <w:bottom w:val="none" w:sz="0" w:space="0" w:color="auto"/>
        <w:right w:val="none" w:sz="0" w:space="0" w:color="auto"/>
      </w:divBdr>
    </w:div>
    <w:div w:id="714237558">
      <w:bodyDiv w:val="1"/>
      <w:marLeft w:val="0"/>
      <w:marRight w:val="0"/>
      <w:marTop w:val="0"/>
      <w:marBottom w:val="0"/>
      <w:divBdr>
        <w:top w:val="none" w:sz="0" w:space="0" w:color="auto"/>
        <w:left w:val="none" w:sz="0" w:space="0" w:color="auto"/>
        <w:bottom w:val="none" w:sz="0" w:space="0" w:color="auto"/>
        <w:right w:val="none" w:sz="0" w:space="0" w:color="auto"/>
      </w:divBdr>
    </w:div>
    <w:div w:id="720054837">
      <w:bodyDiv w:val="1"/>
      <w:marLeft w:val="0"/>
      <w:marRight w:val="0"/>
      <w:marTop w:val="0"/>
      <w:marBottom w:val="0"/>
      <w:divBdr>
        <w:top w:val="none" w:sz="0" w:space="0" w:color="auto"/>
        <w:left w:val="none" w:sz="0" w:space="0" w:color="auto"/>
        <w:bottom w:val="none" w:sz="0" w:space="0" w:color="auto"/>
        <w:right w:val="none" w:sz="0" w:space="0" w:color="auto"/>
      </w:divBdr>
    </w:div>
    <w:div w:id="729547262">
      <w:bodyDiv w:val="1"/>
      <w:marLeft w:val="0"/>
      <w:marRight w:val="0"/>
      <w:marTop w:val="0"/>
      <w:marBottom w:val="0"/>
      <w:divBdr>
        <w:top w:val="none" w:sz="0" w:space="0" w:color="auto"/>
        <w:left w:val="none" w:sz="0" w:space="0" w:color="auto"/>
        <w:bottom w:val="none" w:sz="0" w:space="0" w:color="auto"/>
        <w:right w:val="none" w:sz="0" w:space="0" w:color="auto"/>
      </w:divBdr>
    </w:div>
    <w:div w:id="733628928">
      <w:bodyDiv w:val="1"/>
      <w:marLeft w:val="0"/>
      <w:marRight w:val="0"/>
      <w:marTop w:val="0"/>
      <w:marBottom w:val="0"/>
      <w:divBdr>
        <w:top w:val="none" w:sz="0" w:space="0" w:color="auto"/>
        <w:left w:val="none" w:sz="0" w:space="0" w:color="auto"/>
        <w:bottom w:val="none" w:sz="0" w:space="0" w:color="auto"/>
        <w:right w:val="none" w:sz="0" w:space="0" w:color="auto"/>
      </w:divBdr>
    </w:div>
    <w:div w:id="742263629">
      <w:bodyDiv w:val="1"/>
      <w:marLeft w:val="0"/>
      <w:marRight w:val="0"/>
      <w:marTop w:val="0"/>
      <w:marBottom w:val="0"/>
      <w:divBdr>
        <w:top w:val="none" w:sz="0" w:space="0" w:color="auto"/>
        <w:left w:val="none" w:sz="0" w:space="0" w:color="auto"/>
        <w:bottom w:val="none" w:sz="0" w:space="0" w:color="auto"/>
        <w:right w:val="none" w:sz="0" w:space="0" w:color="auto"/>
      </w:divBdr>
    </w:div>
    <w:div w:id="772288920">
      <w:bodyDiv w:val="1"/>
      <w:marLeft w:val="0"/>
      <w:marRight w:val="0"/>
      <w:marTop w:val="0"/>
      <w:marBottom w:val="0"/>
      <w:divBdr>
        <w:top w:val="none" w:sz="0" w:space="0" w:color="auto"/>
        <w:left w:val="none" w:sz="0" w:space="0" w:color="auto"/>
        <w:bottom w:val="none" w:sz="0" w:space="0" w:color="auto"/>
        <w:right w:val="none" w:sz="0" w:space="0" w:color="auto"/>
      </w:divBdr>
    </w:div>
    <w:div w:id="780415149">
      <w:bodyDiv w:val="1"/>
      <w:marLeft w:val="0"/>
      <w:marRight w:val="0"/>
      <w:marTop w:val="0"/>
      <w:marBottom w:val="0"/>
      <w:divBdr>
        <w:top w:val="none" w:sz="0" w:space="0" w:color="auto"/>
        <w:left w:val="none" w:sz="0" w:space="0" w:color="auto"/>
        <w:bottom w:val="none" w:sz="0" w:space="0" w:color="auto"/>
        <w:right w:val="none" w:sz="0" w:space="0" w:color="auto"/>
      </w:divBdr>
    </w:div>
    <w:div w:id="795411088">
      <w:bodyDiv w:val="1"/>
      <w:marLeft w:val="0"/>
      <w:marRight w:val="0"/>
      <w:marTop w:val="0"/>
      <w:marBottom w:val="0"/>
      <w:divBdr>
        <w:top w:val="none" w:sz="0" w:space="0" w:color="auto"/>
        <w:left w:val="none" w:sz="0" w:space="0" w:color="auto"/>
        <w:bottom w:val="none" w:sz="0" w:space="0" w:color="auto"/>
        <w:right w:val="none" w:sz="0" w:space="0" w:color="auto"/>
      </w:divBdr>
    </w:div>
    <w:div w:id="815878299">
      <w:bodyDiv w:val="1"/>
      <w:marLeft w:val="0"/>
      <w:marRight w:val="0"/>
      <w:marTop w:val="0"/>
      <w:marBottom w:val="0"/>
      <w:divBdr>
        <w:top w:val="none" w:sz="0" w:space="0" w:color="auto"/>
        <w:left w:val="none" w:sz="0" w:space="0" w:color="auto"/>
        <w:bottom w:val="none" w:sz="0" w:space="0" w:color="auto"/>
        <w:right w:val="none" w:sz="0" w:space="0" w:color="auto"/>
      </w:divBdr>
    </w:div>
    <w:div w:id="829828991">
      <w:bodyDiv w:val="1"/>
      <w:marLeft w:val="0"/>
      <w:marRight w:val="0"/>
      <w:marTop w:val="0"/>
      <w:marBottom w:val="0"/>
      <w:divBdr>
        <w:top w:val="none" w:sz="0" w:space="0" w:color="auto"/>
        <w:left w:val="none" w:sz="0" w:space="0" w:color="auto"/>
        <w:bottom w:val="none" w:sz="0" w:space="0" w:color="auto"/>
        <w:right w:val="none" w:sz="0" w:space="0" w:color="auto"/>
      </w:divBdr>
    </w:div>
    <w:div w:id="851771441">
      <w:bodyDiv w:val="1"/>
      <w:marLeft w:val="0"/>
      <w:marRight w:val="0"/>
      <w:marTop w:val="0"/>
      <w:marBottom w:val="0"/>
      <w:divBdr>
        <w:top w:val="none" w:sz="0" w:space="0" w:color="auto"/>
        <w:left w:val="none" w:sz="0" w:space="0" w:color="auto"/>
        <w:bottom w:val="none" w:sz="0" w:space="0" w:color="auto"/>
        <w:right w:val="none" w:sz="0" w:space="0" w:color="auto"/>
      </w:divBdr>
    </w:div>
    <w:div w:id="879325400">
      <w:bodyDiv w:val="1"/>
      <w:marLeft w:val="0"/>
      <w:marRight w:val="0"/>
      <w:marTop w:val="0"/>
      <w:marBottom w:val="0"/>
      <w:divBdr>
        <w:top w:val="none" w:sz="0" w:space="0" w:color="auto"/>
        <w:left w:val="none" w:sz="0" w:space="0" w:color="auto"/>
        <w:bottom w:val="none" w:sz="0" w:space="0" w:color="auto"/>
        <w:right w:val="none" w:sz="0" w:space="0" w:color="auto"/>
      </w:divBdr>
    </w:div>
    <w:div w:id="891232943">
      <w:bodyDiv w:val="1"/>
      <w:marLeft w:val="0"/>
      <w:marRight w:val="0"/>
      <w:marTop w:val="0"/>
      <w:marBottom w:val="0"/>
      <w:divBdr>
        <w:top w:val="none" w:sz="0" w:space="0" w:color="auto"/>
        <w:left w:val="none" w:sz="0" w:space="0" w:color="auto"/>
        <w:bottom w:val="none" w:sz="0" w:space="0" w:color="auto"/>
        <w:right w:val="none" w:sz="0" w:space="0" w:color="auto"/>
      </w:divBdr>
      <w:divsChild>
        <w:div w:id="929657256">
          <w:marLeft w:val="0"/>
          <w:marRight w:val="0"/>
          <w:marTop w:val="0"/>
          <w:marBottom w:val="240"/>
          <w:divBdr>
            <w:top w:val="none" w:sz="0" w:space="0" w:color="auto"/>
            <w:left w:val="none" w:sz="0" w:space="0" w:color="auto"/>
            <w:bottom w:val="none" w:sz="0" w:space="0" w:color="auto"/>
            <w:right w:val="none" w:sz="0" w:space="0" w:color="auto"/>
          </w:divBdr>
        </w:div>
        <w:div w:id="1656178249">
          <w:marLeft w:val="0"/>
          <w:marRight w:val="0"/>
          <w:marTop w:val="0"/>
          <w:marBottom w:val="240"/>
          <w:divBdr>
            <w:top w:val="none" w:sz="0" w:space="0" w:color="auto"/>
            <w:left w:val="none" w:sz="0" w:space="0" w:color="auto"/>
            <w:bottom w:val="none" w:sz="0" w:space="0" w:color="auto"/>
            <w:right w:val="none" w:sz="0" w:space="0" w:color="auto"/>
          </w:divBdr>
        </w:div>
        <w:div w:id="204800165">
          <w:marLeft w:val="0"/>
          <w:marRight w:val="0"/>
          <w:marTop w:val="0"/>
          <w:marBottom w:val="240"/>
          <w:divBdr>
            <w:top w:val="none" w:sz="0" w:space="0" w:color="auto"/>
            <w:left w:val="none" w:sz="0" w:space="0" w:color="auto"/>
            <w:bottom w:val="none" w:sz="0" w:space="0" w:color="auto"/>
            <w:right w:val="none" w:sz="0" w:space="0" w:color="auto"/>
          </w:divBdr>
        </w:div>
      </w:divsChild>
    </w:div>
    <w:div w:id="892159688">
      <w:bodyDiv w:val="1"/>
      <w:marLeft w:val="0"/>
      <w:marRight w:val="0"/>
      <w:marTop w:val="0"/>
      <w:marBottom w:val="0"/>
      <w:divBdr>
        <w:top w:val="none" w:sz="0" w:space="0" w:color="auto"/>
        <w:left w:val="none" w:sz="0" w:space="0" w:color="auto"/>
        <w:bottom w:val="none" w:sz="0" w:space="0" w:color="auto"/>
        <w:right w:val="none" w:sz="0" w:space="0" w:color="auto"/>
      </w:divBdr>
    </w:div>
    <w:div w:id="893009109">
      <w:bodyDiv w:val="1"/>
      <w:marLeft w:val="0"/>
      <w:marRight w:val="0"/>
      <w:marTop w:val="0"/>
      <w:marBottom w:val="0"/>
      <w:divBdr>
        <w:top w:val="none" w:sz="0" w:space="0" w:color="auto"/>
        <w:left w:val="none" w:sz="0" w:space="0" w:color="auto"/>
        <w:bottom w:val="none" w:sz="0" w:space="0" w:color="auto"/>
        <w:right w:val="none" w:sz="0" w:space="0" w:color="auto"/>
      </w:divBdr>
    </w:div>
    <w:div w:id="894776353">
      <w:bodyDiv w:val="1"/>
      <w:marLeft w:val="0"/>
      <w:marRight w:val="0"/>
      <w:marTop w:val="0"/>
      <w:marBottom w:val="0"/>
      <w:divBdr>
        <w:top w:val="none" w:sz="0" w:space="0" w:color="auto"/>
        <w:left w:val="none" w:sz="0" w:space="0" w:color="auto"/>
        <w:bottom w:val="none" w:sz="0" w:space="0" w:color="auto"/>
        <w:right w:val="none" w:sz="0" w:space="0" w:color="auto"/>
      </w:divBdr>
    </w:div>
    <w:div w:id="921523266">
      <w:bodyDiv w:val="1"/>
      <w:marLeft w:val="0"/>
      <w:marRight w:val="0"/>
      <w:marTop w:val="0"/>
      <w:marBottom w:val="0"/>
      <w:divBdr>
        <w:top w:val="none" w:sz="0" w:space="0" w:color="auto"/>
        <w:left w:val="none" w:sz="0" w:space="0" w:color="auto"/>
        <w:bottom w:val="none" w:sz="0" w:space="0" w:color="auto"/>
        <w:right w:val="none" w:sz="0" w:space="0" w:color="auto"/>
      </w:divBdr>
    </w:div>
    <w:div w:id="927886083">
      <w:bodyDiv w:val="1"/>
      <w:marLeft w:val="0"/>
      <w:marRight w:val="0"/>
      <w:marTop w:val="0"/>
      <w:marBottom w:val="0"/>
      <w:divBdr>
        <w:top w:val="none" w:sz="0" w:space="0" w:color="auto"/>
        <w:left w:val="none" w:sz="0" w:space="0" w:color="auto"/>
        <w:bottom w:val="none" w:sz="0" w:space="0" w:color="auto"/>
        <w:right w:val="none" w:sz="0" w:space="0" w:color="auto"/>
      </w:divBdr>
    </w:div>
    <w:div w:id="933629166">
      <w:bodyDiv w:val="1"/>
      <w:marLeft w:val="0"/>
      <w:marRight w:val="0"/>
      <w:marTop w:val="0"/>
      <w:marBottom w:val="0"/>
      <w:divBdr>
        <w:top w:val="none" w:sz="0" w:space="0" w:color="auto"/>
        <w:left w:val="none" w:sz="0" w:space="0" w:color="auto"/>
        <w:bottom w:val="none" w:sz="0" w:space="0" w:color="auto"/>
        <w:right w:val="none" w:sz="0" w:space="0" w:color="auto"/>
      </w:divBdr>
    </w:div>
    <w:div w:id="938634778">
      <w:bodyDiv w:val="1"/>
      <w:marLeft w:val="0"/>
      <w:marRight w:val="0"/>
      <w:marTop w:val="0"/>
      <w:marBottom w:val="0"/>
      <w:divBdr>
        <w:top w:val="none" w:sz="0" w:space="0" w:color="auto"/>
        <w:left w:val="none" w:sz="0" w:space="0" w:color="auto"/>
        <w:bottom w:val="none" w:sz="0" w:space="0" w:color="auto"/>
        <w:right w:val="none" w:sz="0" w:space="0" w:color="auto"/>
      </w:divBdr>
    </w:div>
    <w:div w:id="941229046">
      <w:bodyDiv w:val="1"/>
      <w:marLeft w:val="0"/>
      <w:marRight w:val="0"/>
      <w:marTop w:val="0"/>
      <w:marBottom w:val="0"/>
      <w:divBdr>
        <w:top w:val="none" w:sz="0" w:space="0" w:color="auto"/>
        <w:left w:val="none" w:sz="0" w:space="0" w:color="auto"/>
        <w:bottom w:val="none" w:sz="0" w:space="0" w:color="auto"/>
        <w:right w:val="none" w:sz="0" w:space="0" w:color="auto"/>
      </w:divBdr>
    </w:div>
    <w:div w:id="944313962">
      <w:bodyDiv w:val="1"/>
      <w:marLeft w:val="0"/>
      <w:marRight w:val="0"/>
      <w:marTop w:val="0"/>
      <w:marBottom w:val="0"/>
      <w:divBdr>
        <w:top w:val="none" w:sz="0" w:space="0" w:color="auto"/>
        <w:left w:val="none" w:sz="0" w:space="0" w:color="auto"/>
        <w:bottom w:val="none" w:sz="0" w:space="0" w:color="auto"/>
        <w:right w:val="none" w:sz="0" w:space="0" w:color="auto"/>
      </w:divBdr>
    </w:div>
    <w:div w:id="944733510">
      <w:bodyDiv w:val="1"/>
      <w:marLeft w:val="0"/>
      <w:marRight w:val="0"/>
      <w:marTop w:val="0"/>
      <w:marBottom w:val="0"/>
      <w:divBdr>
        <w:top w:val="none" w:sz="0" w:space="0" w:color="auto"/>
        <w:left w:val="none" w:sz="0" w:space="0" w:color="auto"/>
        <w:bottom w:val="none" w:sz="0" w:space="0" w:color="auto"/>
        <w:right w:val="none" w:sz="0" w:space="0" w:color="auto"/>
      </w:divBdr>
      <w:divsChild>
        <w:div w:id="2039239127">
          <w:marLeft w:val="0"/>
          <w:marRight w:val="0"/>
          <w:marTop w:val="0"/>
          <w:marBottom w:val="0"/>
          <w:divBdr>
            <w:top w:val="none" w:sz="0" w:space="0" w:color="auto"/>
            <w:left w:val="none" w:sz="0" w:space="0" w:color="auto"/>
            <w:bottom w:val="none" w:sz="0" w:space="0" w:color="auto"/>
            <w:right w:val="none" w:sz="0" w:space="0" w:color="auto"/>
          </w:divBdr>
          <w:divsChild>
            <w:div w:id="831801516">
              <w:marLeft w:val="0"/>
              <w:marRight w:val="0"/>
              <w:marTop w:val="0"/>
              <w:marBottom w:val="0"/>
              <w:divBdr>
                <w:top w:val="none" w:sz="0" w:space="0" w:color="auto"/>
                <w:left w:val="none" w:sz="0" w:space="0" w:color="auto"/>
                <w:bottom w:val="none" w:sz="0" w:space="0" w:color="auto"/>
                <w:right w:val="none" w:sz="0" w:space="0" w:color="auto"/>
              </w:divBdr>
              <w:divsChild>
                <w:div w:id="5941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4961">
      <w:bodyDiv w:val="1"/>
      <w:marLeft w:val="0"/>
      <w:marRight w:val="0"/>
      <w:marTop w:val="0"/>
      <w:marBottom w:val="0"/>
      <w:divBdr>
        <w:top w:val="none" w:sz="0" w:space="0" w:color="auto"/>
        <w:left w:val="none" w:sz="0" w:space="0" w:color="auto"/>
        <w:bottom w:val="none" w:sz="0" w:space="0" w:color="auto"/>
        <w:right w:val="none" w:sz="0" w:space="0" w:color="auto"/>
      </w:divBdr>
    </w:div>
    <w:div w:id="977880109">
      <w:bodyDiv w:val="1"/>
      <w:marLeft w:val="0"/>
      <w:marRight w:val="0"/>
      <w:marTop w:val="0"/>
      <w:marBottom w:val="0"/>
      <w:divBdr>
        <w:top w:val="none" w:sz="0" w:space="0" w:color="auto"/>
        <w:left w:val="none" w:sz="0" w:space="0" w:color="auto"/>
        <w:bottom w:val="none" w:sz="0" w:space="0" w:color="auto"/>
        <w:right w:val="none" w:sz="0" w:space="0" w:color="auto"/>
      </w:divBdr>
    </w:div>
    <w:div w:id="984317866">
      <w:bodyDiv w:val="1"/>
      <w:marLeft w:val="0"/>
      <w:marRight w:val="0"/>
      <w:marTop w:val="0"/>
      <w:marBottom w:val="0"/>
      <w:divBdr>
        <w:top w:val="none" w:sz="0" w:space="0" w:color="auto"/>
        <w:left w:val="none" w:sz="0" w:space="0" w:color="auto"/>
        <w:bottom w:val="none" w:sz="0" w:space="0" w:color="auto"/>
        <w:right w:val="none" w:sz="0" w:space="0" w:color="auto"/>
      </w:divBdr>
    </w:div>
    <w:div w:id="990787985">
      <w:bodyDiv w:val="1"/>
      <w:marLeft w:val="0"/>
      <w:marRight w:val="0"/>
      <w:marTop w:val="0"/>
      <w:marBottom w:val="0"/>
      <w:divBdr>
        <w:top w:val="none" w:sz="0" w:space="0" w:color="auto"/>
        <w:left w:val="none" w:sz="0" w:space="0" w:color="auto"/>
        <w:bottom w:val="none" w:sz="0" w:space="0" w:color="auto"/>
        <w:right w:val="none" w:sz="0" w:space="0" w:color="auto"/>
      </w:divBdr>
    </w:div>
    <w:div w:id="996299392">
      <w:bodyDiv w:val="1"/>
      <w:marLeft w:val="0"/>
      <w:marRight w:val="0"/>
      <w:marTop w:val="0"/>
      <w:marBottom w:val="0"/>
      <w:divBdr>
        <w:top w:val="none" w:sz="0" w:space="0" w:color="auto"/>
        <w:left w:val="none" w:sz="0" w:space="0" w:color="auto"/>
        <w:bottom w:val="none" w:sz="0" w:space="0" w:color="auto"/>
        <w:right w:val="none" w:sz="0" w:space="0" w:color="auto"/>
      </w:divBdr>
    </w:div>
    <w:div w:id="1013646649">
      <w:bodyDiv w:val="1"/>
      <w:marLeft w:val="0"/>
      <w:marRight w:val="0"/>
      <w:marTop w:val="0"/>
      <w:marBottom w:val="0"/>
      <w:divBdr>
        <w:top w:val="none" w:sz="0" w:space="0" w:color="auto"/>
        <w:left w:val="none" w:sz="0" w:space="0" w:color="auto"/>
        <w:bottom w:val="none" w:sz="0" w:space="0" w:color="auto"/>
        <w:right w:val="none" w:sz="0" w:space="0" w:color="auto"/>
      </w:divBdr>
    </w:div>
    <w:div w:id="1053382647">
      <w:bodyDiv w:val="1"/>
      <w:marLeft w:val="0"/>
      <w:marRight w:val="0"/>
      <w:marTop w:val="0"/>
      <w:marBottom w:val="0"/>
      <w:divBdr>
        <w:top w:val="none" w:sz="0" w:space="0" w:color="auto"/>
        <w:left w:val="none" w:sz="0" w:space="0" w:color="auto"/>
        <w:bottom w:val="none" w:sz="0" w:space="0" w:color="auto"/>
        <w:right w:val="none" w:sz="0" w:space="0" w:color="auto"/>
      </w:divBdr>
    </w:div>
    <w:div w:id="1060251942">
      <w:bodyDiv w:val="1"/>
      <w:marLeft w:val="0"/>
      <w:marRight w:val="0"/>
      <w:marTop w:val="0"/>
      <w:marBottom w:val="0"/>
      <w:divBdr>
        <w:top w:val="none" w:sz="0" w:space="0" w:color="auto"/>
        <w:left w:val="none" w:sz="0" w:space="0" w:color="auto"/>
        <w:bottom w:val="none" w:sz="0" w:space="0" w:color="auto"/>
        <w:right w:val="none" w:sz="0" w:space="0" w:color="auto"/>
      </w:divBdr>
    </w:div>
    <w:div w:id="1064646769">
      <w:bodyDiv w:val="1"/>
      <w:marLeft w:val="0"/>
      <w:marRight w:val="0"/>
      <w:marTop w:val="0"/>
      <w:marBottom w:val="0"/>
      <w:divBdr>
        <w:top w:val="none" w:sz="0" w:space="0" w:color="auto"/>
        <w:left w:val="none" w:sz="0" w:space="0" w:color="auto"/>
        <w:bottom w:val="none" w:sz="0" w:space="0" w:color="auto"/>
        <w:right w:val="none" w:sz="0" w:space="0" w:color="auto"/>
      </w:divBdr>
      <w:divsChild>
        <w:div w:id="1574854164">
          <w:marLeft w:val="0"/>
          <w:marRight w:val="0"/>
          <w:marTop w:val="0"/>
          <w:marBottom w:val="0"/>
          <w:divBdr>
            <w:top w:val="none" w:sz="0" w:space="0" w:color="auto"/>
            <w:left w:val="none" w:sz="0" w:space="0" w:color="auto"/>
            <w:bottom w:val="none" w:sz="0" w:space="0" w:color="auto"/>
            <w:right w:val="none" w:sz="0" w:space="0" w:color="auto"/>
          </w:divBdr>
          <w:divsChild>
            <w:div w:id="983192314">
              <w:marLeft w:val="0"/>
              <w:marRight w:val="0"/>
              <w:marTop w:val="0"/>
              <w:marBottom w:val="0"/>
              <w:divBdr>
                <w:top w:val="none" w:sz="0" w:space="0" w:color="auto"/>
                <w:left w:val="none" w:sz="0" w:space="0" w:color="auto"/>
                <w:bottom w:val="none" w:sz="0" w:space="0" w:color="auto"/>
                <w:right w:val="none" w:sz="0" w:space="0" w:color="auto"/>
              </w:divBdr>
              <w:divsChild>
                <w:div w:id="15156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03975">
      <w:bodyDiv w:val="1"/>
      <w:marLeft w:val="0"/>
      <w:marRight w:val="0"/>
      <w:marTop w:val="0"/>
      <w:marBottom w:val="0"/>
      <w:divBdr>
        <w:top w:val="none" w:sz="0" w:space="0" w:color="auto"/>
        <w:left w:val="none" w:sz="0" w:space="0" w:color="auto"/>
        <w:bottom w:val="none" w:sz="0" w:space="0" w:color="auto"/>
        <w:right w:val="none" w:sz="0" w:space="0" w:color="auto"/>
      </w:divBdr>
    </w:div>
    <w:div w:id="1087848099">
      <w:bodyDiv w:val="1"/>
      <w:marLeft w:val="0"/>
      <w:marRight w:val="0"/>
      <w:marTop w:val="0"/>
      <w:marBottom w:val="0"/>
      <w:divBdr>
        <w:top w:val="none" w:sz="0" w:space="0" w:color="auto"/>
        <w:left w:val="none" w:sz="0" w:space="0" w:color="auto"/>
        <w:bottom w:val="none" w:sz="0" w:space="0" w:color="auto"/>
        <w:right w:val="none" w:sz="0" w:space="0" w:color="auto"/>
      </w:divBdr>
    </w:div>
    <w:div w:id="1098715349">
      <w:bodyDiv w:val="1"/>
      <w:marLeft w:val="0"/>
      <w:marRight w:val="0"/>
      <w:marTop w:val="0"/>
      <w:marBottom w:val="0"/>
      <w:divBdr>
        <w:top w:val="none" w:sz="0" w:space="0" w:color="auto"/>
        <w:left w:val="none" w:sz="0" w:space="0" w:color="auto"/>
        <w:bottom w:val="none" w:sz="0" w:space="0" w:color="auto"/>
        <w:right w:val="none" w:sz="0" w:space="0" w:color="auto"/>
      </w:divBdr>
    </w:div>
    <w:div w:id="1114909972">
      <w:bodyDiv w:val="1"/>
      <w:marLeft w:val="0"/>
      <w:marRight w:val="0"/>
      <w:marTop w:val="0"/>
      <w:marBottom w:val="0"/>
      <w:divBdr>
        <w:top w:val="none" w:sz="0" w:space="0" w:color="auto"/>
        <w:left w:val="none" w:sz="0" w:space="0" w:color="auto"/>
        <w:bottom w:val="none" w:sz="0" w:space="0" w:color="auto"/>
        <w:right w:val="none" w:sz="0" w:space="0" w:color="auto"/>
      </w:divBdr>
    </w:div>
    <w:div w:id="1121531068">
      <w:bodyDiv w:val="1"/>
      <w:marLeft w:val="0"/>
      <w:marRight w:val="0"/>
      <w:marTop w:val="0"/>
      <w:marBottom w:val="0"/>
      <w:divBdr>
        <w:top w:val="none" w:sz="0" w:space="0" w:color="auto"/>
        <w:left w:val="none" w:sz="0" w:space="0" w:color="auto"/>
        <w:bottom w:val="none" w:sz="0" w:space="0" w:color="auto"/>
        <w:right w:val="none" w:sz="0" w:space="0" w:color="auto"/>
      </w:divBdr>
    </w:div>
    <w:div w:id="1129742185">
      <w:bodyDiv w:val="1"/>
      <w:marLeft w:val="0"/>
      <w:marRight w:val="0"/>
      <w:marTop w:val="0"/>
      <w:marBottom w:val="0"/>
      <w:divBdr>
        <w:top w:val="none" w:sz="0" w:space="0" w:color="auto"/>
        <w:left w:val="none" w:sz="0" w:space="0" w:color="auto"/>
        <w:bottom w:val="none" w:sz="0" w:space="0" w:color="auto"/>
        <w:right w:val="none" w:sz="0" w:space="0" w:color="auto"/>
      </w:divBdr>
    </w:div>
    <w:div w:id="1136800580">
      <w:bodyDiv w:val="1"/>
      <w:marLeft w:val="0"/>
      <w:marRight w:val="0"/>
      <w:marTop w:val="0"/>
      <w:marBottom w:val="0"/>
      <w:divBdr>
        <w:top w:val="none" w:sz="0" w:space="0" w:color="auto"/>
        <w:left w:val="none" w:sz="0" w:space="0" w:color="auto"/>
        <w:bottom w:val="none" w:sz="0" w:space="0" w:color="auto"/>
        <w:right w:val="none" w:sz="0" w:space="0" w:color="auto"/>
      </w:divBdr>
    </w:div>
    <w:div w:id="1142574847">
      <w:bodyDiv w:val="1"/>
      <w:marLeft w:val="0"/>
      <w:marRight w:val="0"/>
      <w:marTop w:val="0"/>
      <w:marBottom w:val="0"/>
      <w:divBdr>
        <w:top w:val="none" w:sz="0" w:space="0" w:color="auto"/>
        <w:left w:val="none" w:sz="0" w:space="0" w:color="auto"/>
        <w:bottom w:val="none" w:sz="0" w:space="0" w:color="auto"/>
        <w:right w:val="none" w:sz="0" w:space="0" w:color="auto"/>
      </w:divBdr>
    </w:div>
    <w:div w:id="1148398388">
      <w:bodyDiv w:val="1"/>
      <w:marLeft w:val="0"/>
      <w:marRight w:val="0"/>
      <w:marTop w:val="0"/>
      <w:marBottom w:val="0"/>
      <w:divBdr>
        <w:top w:val="none" w:sz="0" w:space="0" w:color="auto"/>
        <w:left w:val="none" w:sz="0" w:space="0" w:color="auto"/>
        <w:bottom w:val="none" w:sz="0" w:space="0" w:color="auto"/>
        <w:right w:val="none" w:sz="0" w:space="0" w:color="auto"/>
      </w:divBdr>
    </w:div>
    <w:div w:id="1197037774">
      <w:bodyDiv w:val="1"/>
      <w:marLeft w:val="0"/>
      <w:marRight w:val="0"/>
      <w:marTop w:val="0"/>
      <w:marBottom w:val="0"/>
      <w:divBdr>
        <w:top w:val="none" w:sz="0" w:space="0" w:color="auto"/>
        <w:left w:val="none" w:sz="0" w:space="0" w:color="auto"/>
        <w:bottom w:val="none" w:sz="0" w:space="0" w:color="auto"/>
        <w:right w:val="none" w:sz="0" w:space="0" w:color="auto"/>
      </w:divBdr>
    </w:div>
    <w:div w:id="1199123532">
      <w:bodyDiv w:val="1"/>
      <w:marLeft w:val="0"/>
      <w:marRight w:val="0"/>
      <w:marTop w:val="0"/>
      <w:marBottom w:val="0"/>
      <w:divBdr>
        <w:top w:val="none" w:sz="0" w:space="0" w:color="auto"/>
        <w:left w:val="none" w:sz="0" w:space="0" w:color="auto"/>
        <w:bottom w:val="none" w:sz="0" w:space="0" w:color="auto"/>
        <w:right w:val="none" w:sz="0" w:space="0" w:color="auto"/>
      </w:divBdr>
    </w:div>
    <w:div w:id="1209299597">
      <w:bodyDiv w:val="1"/>
      <w:marLeft w:val="0"/>
      <w:marRight w:val="0"/>
      <w:marTop w:val="0"/>
      <w:marBottom w:val="0"/>
      <w:divBdr>
        <w:top w:val="none" w:sz="0" w:space="0" w:color="auto"/>
        <w:left w:val="none" w:sz="0" w:space="0" w:color="auto"/>
        <w:bottom w:val="none" w:sz="0" w:space="0" w:color="auto"/>
        <w:right w:val="none" w:sz="0" w:space="0" w:color="auto"/>
      </w:divBdr>
    </w:div>
    <w:div w:id="1219246986">
      <w:bodyDiv w:val="1"/>
      <w:marLeft w:val="0"/>
      <w:marRight w:val="0"/>
      <w:marTop w:val="0"/>
      <w:marBottom w:val="0"/>
      <w:divBdr>
        <w:top w:val="none" w:sz="0" w:space="0" w:color="auto"/>
        <w:left w:val="none" w:sz="0" w:space="0" w:color="auto"/>
        <w:bottom w:val="none" w:sz="0" w:space="0" w:color="auto"/>
        <w:right w:val="none" w:sz="0" w:space="0" w:color="auto"/>
      </w:divBdr>
    </w:div>
    <w:div w:id="1257902101">
      <w:bodyDiv w:val="1"/>
      <w:marLeft w:val="0"/>
      <w:marRight w:val="0"/>
      <w:marTop w:val="0"/>
      <w:marBottom w:val="0"/>
      <w:divBdr>
        <w:top w:val="none" w:sz="0" w:space="0" w:color="auto"/>
        <w:left w:val="none" w:sz="0" w:space="0" w:color="auto"/>
        <w:bottom w:val="none" w:sz="0" w:space="0" w:color="auto"/>
        <w:right w:val="none" w:sz="0" w:space="0" w:color="auto"/>
      </w:divBdr>
    </w:div>
    <w:div w:id="1266187462">
      <w:bodyDiv w:val="1"/>
      <w:marLeft w:val="0"/>
      <w:marRight w:val="0"/>
      <w:marTop w:val="0"/>
      <w:marBottom w:val="0"/>
      <w:divBdr>
        <w:top w:val="none" w:sz="0" w:space="0" w:color="auto"/>
        <w:left w:val="none" w:sz="0" w:space="0" w:color="auto"/>
        <w:bottom w:val="none" w:sz="0" w:space="0" w:color="auto"/>
        <w:right w:val="none" w:sz="0" w:space="0" w:color="auto"/>
      </w:divBdr>
    </w:div>
    <w:div w:id="1272937275">
      <w:bodyDiv w:val="1"/>
      <w:marLeft w:val="0"/>
      <w:marRight w:val="0"/>
      <w:marTop w:val="0"/>
      <w:marBottom w:val="0"/>
      <w:divBdr>
        <w:top w:val="none" w:sz="0" w:space="0" w:color="auto"/>
        <w:left w:val="none" w:sz="0" w:space="0" w:color="auto"/>
        <w:bottom w:val="none" w:sz="0" w:space="0" w:color="auto"/>
        <w:right w:val="none" w:sz="0" w:space="0" w:color="auto"/>
      </w:divBdr>
    </w:div>
    <w:div w:id="1273394825">
      <w:bodyDiv w:val="1"/>
      <w:marLeft w:val="0"/>
      <w:marRight w:val="0"/>
      <w:marTop w:val="0"/>
      <w:marBottom w:val="0"/>
      <w:divBdr>
        <w:top w:val="none" w:sz="0" w:space="0" w:color="auto"/>
        <w:left w:val="none" w:sz="0" w:space="0" w:color="auto"/>
        <w:bottom w:val="none" w:sz="0" w:space="0" w:color="auto"/>
        <w:right w:val="none" w:sz="0" w:space="0" w:color="auto"/>
      </w:divBdr>
    </w:div>
    <w:div w:id="1287004486">
      <w:bodyDiv w:val="1"/>
      <w:marLeft w:val="0"/>
      <w:marRight w:val="0"/>
      <w:marTop w:val="0"/>
      <w:marBottom w:val="0"/>
      <w:divBdr>
        <w:top w:val="none" w:sz="0" w:space="0" w:color="auto"/>
        <w:left w:val="none" w:sz="0" w:space="0" w:color="auto"/>
        <w:bottom w:val="none" w:sz="0" w:space="0" w:color="auto"/>
        <w:right w:val="none" w:sz="0" w:space="0" w:color="auto"/>
      </w:divBdr>
    </w:div>
    <w:div w:id="1301375798">
      <w:bodyDiv w:val="1"/>
      <w:marLeft w:val="0"/>
      <w:marRight w:val="0"/>
      <w:marTop w:val="0"/>
      <w:marBottom w:val="0"/>
      <w:divBdr>
        <w:top w:val="none" w:sz="0" w:space="0" w:color="auto"/>
        <w:left w:val="none" w:sz="0" w:space="0" w:color="auto"/>
        <w:bottom w:val="none" w:sz="0" w:space="0" w:color="auto"/>
        <w:right w:val="none" w:sz="0" w:space="0" w:color="auto"/>
      </w:divBdr>
    </w:div>
    <w:div w:id="1303191617">
      <w:bodyDiv w:val="1"/>
      <w:marLeft w:val="0"/>
      <w:marRight w:val="0"/>
      <w:marTop w:val="0"/>
      <w:marBottom w:val="0"/>
      <w:divBdr>
        <w:top w:val="none" w:sz="0" w:space="0" w:color="auto"/>
        <w:left w:val="none" w:sz="0" w:space="0" w:color="auto"/>
        <w:bottom w:val="none" w:sz="0" w:space="0" w:color="auto"/>
        <w:right w:val="none" w:sz="0" w:space="0" w:color="auto"/>
      </w:divBdr>
    </w:div>
    <w:div w:id="1317762691">
      <w:bodyDiv w:val="1"/>
      <w:marLeft w:val="0"/>
      <w:marRight w:val="0"/>
      <w:marTop w:val="0"/>
      <w:marBottom w:val="0"/>
      <w:divBdr>
        <w:top w:val="none" w:sz="0" w:space="0" w:color="auto"/>
        <w:left w:val="none" w:sz="0" w:space="0" w:color="auto"/>
        <w:bottom w:val="none" w:sz="0" w:space="0" w:color="auto"/>
        <w:right w:val="none" w:sz="0" w:space="0" w:color="auto"/>
      </w:divBdr>
    </w:div>
    <w:div w:id="1322388763">
      <w:bodyDiv w:val="1"/>
      <w:marLeft w:val="0"/>
      <w:marRight w:val="0"/>
      <w:marTop w:val="0"/>
      <w:marBottom w:val="0"/>
      <w:divBdr>
        <w:top w:val="none" w:sz="0" w:space="0" w:color="auto"/>
        <w:left w:val="none" w:sz="0" w:space="0" w:color="auto"/>
        <w:bottom w:val="none" w:sz="0" w:space="0" w:color="auto"/>
        <w:right w:val="none" w:sz="0" w:space="0" w:color="auto"/>
      </w:divBdr>
    </w:div>
    <w:div w:id="1337731852">
      <w:bodyDiv w:val="1"/>
      <w:marLeft w:val="0"/>
      <w:marRight w:val="0"/>
      <w:marTop w:val="0"/>
      <w:marBottom w:val="0"/>
      <w:divBdr>
        <w:top w:val="none" w:sz="0" w:space="0" w:color="auto"/>
        <w:left w:val="none" w:sz="0" w:space="0" w:color="auto"/>
        <w:bottom w:val="none" w:sz="0" w:space="0" w:color="auto"/>
        <w:right w:val="none" w:sz="0" w:space="0" w:color="auto"/>
      </w:divBdr>
    </w:div>
    <w:div w:id="1345864748">
      <w:bodyDiv w:val="1"/>
      <w:marLeft w:val="0"/>
      <w:marRight w:val="0"/>
      <w:marTop w:val="0"/>
      <w:marBottom w:val="0"/>
      <w:divBdr>
        <w:top w:val="none" w:sz="0" w:space="0" w:color="auto"/>
        <w:left w:val="none" w:sz="0" w:space="0" w:color="auto"/>
        <w:bottom w:val="none" w:sz="0" w:space="0" w:color="auto"/>
        <w:right w:val="none" w:sz="0" w:space="0" w:color="auto"/>
      </w:divBdr>
    </w:div>
    <w:div w:id="1348167395">
      <w:bodyDiv w:val="1"/>
      <w:marLeft w:val="0"/>
      <w:marRight w:val="0"/>
      <w:marTop w:val="0"/>
      <w:marBottom w:val="0"/>
      <w:divBdr>
        <w:top w:val="none" w:sz="0" w:space="0" w:color="auto"/>
        <w:left w:val="none" w:sz="0" w:space="0" w:color="auto"/>
        <w:bottom w:val="none" w:sz="0" w:space="0" w:color="auto"/>
        <w:right w:val="none" w:sz="0" w:space="0" w:color="auto"/>
      </w:divBdr>
    </w:div>
    <w:div w:id="1358892812">
      <w:bodyDiv w:val="1"/>
      <w:marLeft w:val="0"/>
      <w:marRight w:val="0"/>
      <w:marTop w:val="0"/>
      <w:marBottom w:val="0"/>
      <w:divBdr>
        <w:top w:val="none" w:sz="0" w:space="0" w:color="auto"/>
        <w:left w:val="none" w:sz="0" w:space="0" w:color="auto"/>
        <w:bottom w:val="none" w:sz="0" w:space="0" w:color="auto"/>
        <w:right w:val="none" w:sz="0" w:space="0" w:color="auto"/>
      </w:divBdr>
    </w:div>
    <w:div w:id="1360593357">
      <w:bodyDiv w:val="1"/>
      <w:marLeft w:val="0"/>
      <w:marRight w:val="0"/>
      <w:marTop w:val="0"/>
      <w:marBottom w:val="0"/>
      <w:divBdr>
        <w:top w:val="none" w:sz="0" w:space="0" w:color="auto"/>
        <w:left w:val="none" w:sz="0" w:space="0" w:color="auto"/>
        <w:bottom w:val="none" w:sz="0" w:space="0" w:color="auto"/>
        <w:right w:val="none" w:sz="0" w:space="0" w:color="auto"/>
      </w:divBdr>
    </w:div>
    <w:div w:id="1378702037">
      <w:bodyDiv w:val="1"/>
      <w:marLeft w:val="0"/>
      <w:marRight w:val="0"/>
      <w:marTop w:val="0"/>
      <w:marBottom w:val="0"/>
      <w:divBdr>
        <w:top w:val="none" w:sz="0" w:space="0" w:color="auto"/>
        <w:left w:val="none" w:sz="0" w:space="0" w:color="auto"/>
        <w:bottom w:val="none" w:sz="0" w:space="0" w:color="auto"/>
        <w:right w:val="none" w:sz="0" w:space="0" w:color="auto"/>
      </w:divBdr>
    </w:div>
    <w:div w:id="1381591745">
      <w:bodyDiv w:val="1"/>
      <w:marLeft w:val="0"/>
      <w:marRight w:val="0"/>
      <w:marTop w:val="0"/>
      <w:marBottom w:val="0"/>
      <w:divBdr>
        <w:top w:val="none" w:sz="0" w:space="0" w:color="auto"/>
        <w:left w:val="none" w:sz="0" w:space="0" w:color="auto"/>
        <w:bottom w:val="none" w:sz="0" w:space="0" w:color="auto"/>
        <w:right w:val="none" w:sz="0" w:space="0" w:color="auto"/>
      </w:divBdr>
    </w:div>
    <w:div w:id="1391147212">
      <w:bodyDiv w:val="1"/>
      <w:marLeft w:val="0"/>
      <w:marRight w:val="0"/>
      <w:marTop w:val="0"/>
      <w:marBottom w:val="0"/>
      <w:divBdr>
        <w:top w:val="none" w:sz="0" w:space="0" w:color="auto"/>
        <w:left w:val="none" w:sz="0" w:space="0" w:color="auto"/>
        <w:bottom w:val="none" w:sz="0" w:space="0" w:color="auto"/>
        <w:right w:val="none" w:sz="0" w:space="0" w:color="auto"/>
      </w:divBdr>
    </w:div>
    <w:div w:id="1398623851">
      <w:bodyDiv w:val="1"/>
      <w:marLeft w:val="0"/>
      <w:marRight w:val="0"/>
      <w:marTop w:val="0"/>
      <w:marBottom w:val="0"/>
      <w:divBdr>
        <w:top w:val="none" w:sz="0" w:space="0" w:color="auto"/>
        <w:left w:val="none" w:sz="0" w:space="0" w:color="auto"/>
        <w:bottom w:val="none" w:sz="0" w:space="0" w:color="auto"/>
        <w:right w:val="none" w:sz="0" w:space="0" w:color="auto"/>
      </w:divBdr>
    </w:div>
    <w:div w:id="1403986284">
      <w:bodyDiv w:val="1"/>
      <w:marLeft w:val="0"/>
      <w:marRight w:val="0"/>
      <w:marTop w:val="0"/>
      <w:marBottom w:val="0"/>
      <w:divBdr>
        <w:top w:val="none" w:sz="0" w:space="0" w:color="auto"/>
        <w:left w:val="none" w:sz="0" w:space="0" w:color="auto"/>
        <w:bottom w:val="none" w:sz="0" w:space="0" w:color="auto"/>
        <w:right w:val="none" w:sz="0" w:space="0" w:color="auto"/>
      </w:divBdr>
    </w:div>
    <w:div w:id="1421219883">
      <w:bodyDiv w:val="1"/>
      <w:marLeft w:val="0"/>
      <w:marRight w:val="0"/>
      <w:marTop w:val="0"/>
      <w:marBottom w:val="0"/>
      <w:divBdr>
        <w:top w:val="none" w:sz="0" w:space="0" w:color="auto"/>
        <w:left w:val="none" w:sz="0" w:space="0" w:color="auto"/>
        <w:bottom w:val="none" w:sz="0" w:space="0" w:color="auto"/>
        <w:right w:val="none" w:sz="0" w:space="0" w:color="auto"/>
      </w:divBdr>
    </w:div>
    <w:div w:id="1449423284">
      <w:bodyDiv w:val="1"/>
      <w:marLeft w:val="0"/>
      <w:marRight w:val="0"/>
      <w:marTop w:val="0"/>
      <w:marBottom w:val="0"/>
      <w:divBdr>
        <w:top w:val="none" w:sz="0" w:space="0" w:color="auto"/>
        <w:left w:val="none" w:sz="0" w:space="0" w:color="auto"/>
        <w:bottom w:val="none" w:sz="0" w:space="0" w:color="auto"/>
        <w:right w:val="none" w:sz="0" w:space="0" w:color="auto"/>
      </w:divBdr>
    </w:div>
    <w:div w:id="1452086468">
      <w:bodyDiv w:val="1"/>
      <w:marLeft w:val="0"/>
      <w:marRight w:val="0"/>
      <w:marTop w:val="0"/>
      <w:marBottom w:val="0"/>
      <w:divBdr>
        <w:top w:val="none" w:sz="0" w:space="0" w:color="auto"/>
        <w:left w:val="none" w:sz="0" w:space="0" w:color="auto"/>
        <w:bottom w:val="none" w:sz="0" w:space="0" w:color="auto"/>
        <w:right w:val="none" w:sz="0" w:space="0" w:color="auto"/>
      </w:divBdr>
    </w:div>
    <w:div w:id="1452169532">
      <w:bodyDiv w:val="1"/>
      <w:marLeft w:val="0"/>
      <w:marRight w:val="0"/>
      <w:marTop w:val="0"/>
      <w:marBottom w:val="0"/>
      <w:divBdr>
        <w:top w:val="none" w:sz="0" w:space="0" w:color="auto"/>
        <w:left w:val="none" w:sz="0" w:space="0" w:color="auto"/>
        <w:bottom w:val="none" w:sz="0" w:space="0" w:color="auto"/>
        <w:right w:val="none" w:sz="0" w:space="0" w:color="auto"/>
      </w:divBdr>
    </w:div>
    <w:div w:id="1492410294">
      <w:bodyDiv w:val="1"/>
      <w:marLeft w:val="0"/>
      <w:marRight w:val="0"/>
      <w:marTop w:val="0"/>
      <w:marBottom w:val="0"/>
      <w:divBdr>
        <w:top w:val="none" w:sz="0" w:space="0" w:color="auto"/>
        <w:left w:val="none" w:sz="0" w:space="0" w:color="auto"/>
        <w:bottom w:val="none" w:sz="0" w:space="0" w:color="auto"/>
        <w:right w:val="none" w:sz="0" w:space="0" w:color="auto"/>
      </w:divBdr>
    </w:div>
    <w:div w:id="1521166365">
      <w:bodyDiv w:val="1"/>
      <w:marLeft w:val="0"/>
      <w:marRight w:val="0"/>
      <w:marTop w:val="0"/>
      <w:marBottom w:val="0"/>
      <w:divBdr>
        <w:top w:val="none" w:sz="0" w:space="0" w:color="auto"/>
        <w:left w:val="none" w:sz="0" w:space="0" w:color="auto"/>
        <w:bottom w:val="none" w:sz="0" w:space="0" w:color="auto"/>
        <w:right w:val="none" w:sz="0" w:space="0" w:color="auto"/>
      </w:divBdr>
    </w:div>
    <w:div w:id="1534535576">
      <w:bodyDiv w:val="1"/>
      <w:marLeft w:val="0"/>
      <w:marRight w:val="0"/>
      <w:marTop w:val="0"/>
      <w:marBottom w:val="0"/>
      <w:divBdr>
        <w:top w:val="none" w:sz="0" w:space="0" w:color="auto"/>
        <w:left w:val="none" w:sz="0" w:space="0" w:color="auto"/>
        <w:bottom w:val="none" w:sz="0" w:space="0" w:color="auto"/>
        <w:right w:val="none" w:sz="0" w:space="0" w:color="auto"/>
      </w:divBdr>
    </w:div>
    <w:div w:id="1544781440">
      <w:bodyDiv w:val="1"/>
      <w:marLeft w:val="0"/>
      <w:marRight w:val="0"/>
      <w:marTop w:val="0"/>
      <w:marBottom w:val="0"/>
      <w:divBdr>
        <w:top w:val="none" w:sz="0" w:space="0" w:color="auto"/>
        <w:left w:val="none" w:sz="0" w:space="0" w:color="auto"/>
        <w:bottom w:val="none" w:sz="0" w:space="0" w:color="auto"/>
        <w:right w:val="none" w:sz="0" w:space="0" w:color="auto"/>
      </w:divBdr>
    </w:div>
    <w:div w:id="1551763858">
      <w:bodyDiv w:val="1"/>
      <w:marLeft w:val="0"/>
      <w:marRight w:val="0"/>
      <w:marTop w:val="0"/>
      <w:marBottom w:val="0"/>
      <w:divBdr>
        <w:top w:val="none" w:sz="0" w:space="0" w:color="auto"/>
        <w:left w:val="none" w:sz="0" w:space="0" w:color="auto"/>
        <w:bottom w:val="none" w:sz="0" w:space="0" w:color="auto"/>
        <w:right w:val="none" w:sz="0" w:space="0" w:color="auto"/>
      </w:divBdr>
    </w:div>
    <w:div w:id="1554736970">
      <w:bodyDiv w:val="1"/>
      <w:marLeft w:val="0"/>
      <w:marRight w:val="0"/>
      <w:marTop w:val="0"/>
      <w:marBottom w:val="0"/>
      <w:divBdr>
        <w:top w:val="none" w:sz="0" w:space="0" w:color="auto"/>
        <w:left w:val="none" w:sz="0" w:space="0" w:color="auto"/>
        <w:bottom w:val="none" w:sz="0" w:space="0" w:color="auto"/>
        <w:right w:val="none" w:sz="0" w:space="0" w:color="auto"/>
      </w:divBdr>
    </w:div>
    <w:div w:id="1560094890">
      <w:bodyDiv w:val="1"/>
      <w:marLeft w:val="0"/>
      <w:marRight w:val="0"/>
      <w:marTop w:val="0"/>
      <w:marBottom w:val="0"/>
      <w:divBdr>
        <w:top w:val="none" w:sz="0" w:space="0" w:color="auto"/>
        <w:left w:val="none" w:sz="0" w:space="0" w:color="auto"/>
        <w:bottom w:val="none" w:sz="0" w:space="0" w:color="auto"/>
        <w:right w:val="none" w:sz="0" w:space="0" w:color="auto"/>
      </w:divBdr>
    </w:div>
    <w:div w:id="1560901062">
      <w:bodyDiv w:val="1"/>
      <w:marLeft w:val="0"/>
      <w:marRight w:val="0"/>
      <w:marTop w:val="0"/>
      <w:marBottom w:val="0"/>
      <w:divBdr>
        <w:top w:val="none" w:sz="0" w:space="0" w:color="auto"/>
        <w:left w:val="none" w:sz="0" w:space="0" w:color="auto"/>
        <w:bottom w:val="none" w:sz="0" w:space="0" w:color="auto"/>
        <w:right w:val="none" w:sz="0" w:space="0" w:color="auto"/>
      </w:divBdr>
    </w:div>
    <w:div w:id="1612320108">
      <w:bodyDiv w:val="1"/>
      <w:marLeft w:val="0"/>
      <w:marRight w:val="0"/>
      <w:marTop w:val="0"/>
      <w:marBottom w:val="0"/>
      <w:divBdr>
        <w:top w:val="none" w:sz="0" w:space="0" w:color="auto"/>
        <w:left w:val="none" w:sz="0" w:space="0" w:color="auto"/>
        <w:bottom w:val="none" w:sz="0" w:space="0" w:color="auto"/>
        <w:right w:val="none" w:sz="0" w:space="0" w:color="auto"/>
      </w:divBdr>
    </w:div>
    <w:div w:id="1621495703">
      <w:bodyDiv w:val="1"/>
      <w:marLeft w:val="0"/>
      <w:marRight w:val="0"/>
      <w:marTop w:val="0"/>
      <w:marBottom w:val="0"/>
      <w:divBdr>
        <w:top w:val="none" w:sz="0" w:space="0" w:color="auto"/>
        <w:left w:val="none" w:sz="0" w:space="0" w:color="auto"/>
        <w:bottom w:val="none" w:sz="0" w:space="0" w:color="auto"/>
        <w:right w:val="none" w:sz="0" w:space="0" w:color="auto"/>
      </w:divBdr>
      <w:divsChild>
        <w:div w:id="221328503">
          <w:marLeft w:val="0"/>
          <w:marRight w:val="0"/>
          <w:marTop w:val="0"/>
          <w:marBottom w:val="0"/>
          <w:divBdr>
            <w:top w:val="none" w:sz="0" w:space="0" w:color="auto"/>
            <w:left w:val="none" w:sz="0" w:space="0" w:color="auto"/>
            <w:bottom w:val="none" w:sz="0" w:space="0" w:color="auto"/>
            <w:right w:val="none" w:sz="0" w:space="0" w:color="auto"/>
          </w:divBdr>
          <w:divsChild>
            <w:div w:id="72433235">
              <w:marLeft w:val="0"/>
              <w:marRight w:val="0"/>
              <w:marTop w:val="0"/>
              <w:marBottom w:val="0"/>
              <w:divBdr>
                <w:top w:val="none" w:sz="0" w:space="0" w:color="auto"/>
                <w:left w:val="none" w:sz="0" w:space="0" w:color="auto"/>
                <w:bottom w:val="none" w:sz="0" w:space="0" w:color="auto"/>
                <w:right w:val="none" w:sz="0" w:space="0" w:color="auto"/>
              </w:divBdr>
              <w:divsChild>
                <w:div w:id="99865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5079">
      <w:bodyDiv w:val="1"/>
      <w:marLeft w:val="0"/>
      <w:marRight w:val="0"/>
      <w:marTop w:val="0"/>
      <w:marBottom w:val="0"/>
      <w:divBdr>
        <w:top w:val="none" w:sz="0" w:space="0" w:color="auto"/>
        <w:left w:val="none" w:sz="0" w:space="0" w:color="auto"/>
        <w:bottom w:val="none" w:sz="0" w:space="0" w:color="auto"/>
        <w:right w:val="none" w:sz="0" w:space="0" w:color="auto"/>
      </w:divBdr>
    </w:div>
    <w:div w:id="1660422537">
      <w:bodyDiv w:val="1"/>
      <w:marLeft w:val="0"/>
      <w:marRight w:val="0"/>
      <w:marTop w:val="0"/>
      <w:marBottom w:val="0"/>
      <w:divBdr>
        <w:top w:val="none" w:sz="0" w:space="0" w:color="auto"/>
        <w:left w:val="none" w:sz="0" w:space="0" w:color="auto"/>
        <w:bottom w:val="none" w:sz="0" w:space="0" w:color="auto"/>
        <w:right w:val="none" w:sz="0" w:space="0" w:color="auto"/>
      </w:divBdr>
    </w:div>
    <w:div w:id="1670132543">
      <w:bodyDiv w:val="1"/>
      <w:marLeft w:val="0"/>
      <w:marRight w:val="0"/>
      <w:marTop w:val="0"/>
      <w:marBottom w:val="0"/>
      <w:divBdr>
        <w:top w:val="none" w:sz="0" w:space="0" w:color="auto"/>
        <w:left w:val="none" w:sz="0" w:space="0" w:color="auto"/>
        <w:bottom w:val="none" w:sz="0" w:space="0" w:color="auto"/>
        <w:right w:val="none" w:sz="0" w:space="0" w:color="auto"/>
      </w:divBdr>
    </w:div>
    <w:div w:id="1678773652">
      <w:bodyDiv w:val="1"/>
      <w:marLeft w:val="0"/>
      <w:marRight w:val="0"/>
      <w:marTop w:val="0"/>
      <w:marBottom w:val="0"/>
      <w:divBdr>
        <w:top w:val="none" w:sz="0" w:space="0" w:color="auto"/>
        <w:left w:val="none" w:sz="0" w:space="0" w:color="auto"/>
        <w:bottom w:val="none" w:sz="0" w:space="0" w:color="auto"/>
        <w:right w:val="none" w:sz="0" w:space="0" w:color="auto"/>
      </w:divBdr>
    </w:div>
    <w:div w:id="1680233164">
      <w:bodyDiv w:val="1"/>
      <w:marLeft w:val="0"/>
      <w:marRight w:val="0"/>
      <w:marTop w:val="0"/>
      <w:marBottom w:val="0"/>
      <w:divBdr>
        <w:top w:val="none" w:sz="0" w:space="0" w:color="auto"/>
        <w:left w:val="none" w:sz="0" w:space="0" w:color="auto"/>
        <w:bottom w:val="none" w:sz="0" w:space="0" w:color="auto"/>
        <w:right w:val="none" w:sz="0" w:space="0" w:color="auto"/>
      </w:divBdr>
      <w:divsChild>
        <w:div w:id="1102729624">
          <w:marLeft w:val="0"/>
          <w:marRight w:val="0"/>
          <w:marTop w:val="0"/>
          <w:marBottom w:val="0"/>
          <w:divBdr>
            <w:top w:val="none" w:sz="0" w:space="0" w:color="auto"/>
            <w:left w:val="none" w:sz="0" w:space="0" w:color="auto"/>
            <w:bottom w:val="none" w:sz="0" w:space="0" w:color="auto"/>
            <w:right w:val="none" w:sz="0" w:space="0" w:color="auto"/>
          </w:divBdr>
          <w:divsChild>
            <w:div w:id="1292787283">
              <w:marLeft w:val="0"/>
              <w:marRight w:val="0"/>
              <w:marTop w:val="0"/>
              <w:marBottom w:val="0"/>
              <w:divBdr>
                <w:top w:val="none" w:sz="0" w:space="0" w:color="auto"/>
                <w:left w:val="none" w:sz="0" w:space="0" w:color="auto"/>
                <w:bottom w:val="none" w:sz="0" w:space="0" w:color="auto"/>
                <w:right w:val="none" w:sz="0" w:space="0" w:color="auto"/>
              </w:divBdr>
              <w:divsChild>
                <w:div w:id="918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1101">
      <w:bodyDiv w:val="1"/>
      <w:marLeft w:val="0"/>
      <w:marRight w:val="0"/>
      <w:marTop w:val="0"/>
      <w:marBottom w:val="0"/>
      <w:divBdr>
        <w:top w:val="none" w:sz="0" w:space="0" w:color="auto"/>
        <w:left w:val="none" w:sz="0" w:space="0" w:color="auto"/>
        <w:bottom w:val="none" w:sz="0" w:space="0" w:color="auto"/>
        <w:right w:val="none" w:sz="0" w:space="0" w:color="auto"/>
      </w:divBdr>
    </w:div>
    <w:div w:id="1701275847">
      <w:bodyDiv w:val="1"/>
      <w:marLeft w:val="0"/>
      <w:marRight w:val="0"/>
      <w:marTop w:val="0"/>
      <w:marBottom w:val="0"/>
      <w:divBdr>
        <w:top w:val="none" w:sz="0" w:space="0" w:color="auto"/>
        <w:left w:val="none" w:sz="0" w:space="0" w:color="auto"/>
        <w:bottom w:val="none" w:sz="0" w:space="0" w:color="auto"/>
        <w:right w:val="none" w:sz="0" w:space="0" w:color="auto"/>
      </w:divBdr>
    </w:div>
    <w:div w:id="1701735883">
      <w:bodyDiv w:val="1"/>
      <w:marLeft w:val="0"/>
      <w:marRight w:val="0"/>
      <w:marTop w:val="0"/>
      <w:marBottom w:val="0"/>
      <w:divBdr>
        <w:top w:val="none" w:sz="0" w:space="0" w:color="auto"/>
        <w:left w:val="none" w:sz="0" w:space="0" w:color="auto"/>
        <w:bottom w:val="none" w:sz="0" w:space="0" w:color="auto"/>
        <w:right w:val="none" w:sz="0" w:space="0" w:color="auto"/>
      </w:divBdr>
    </w:div>
    <w:div w:id="1723867102">
      <w:bodyDiv w:val="1"/>
      <w:marLeft w:val="0"/>
      <w:marRight w:val="0"/>
      <w:marTop w:val="0"/>
      <w:marBottom w:val="0"/>
      <w:divBdr>
        <w:top w:val="none" w:sz="0" w:space="0" w:color="auto"/>
        <w:left w:val="none" w:sz="0" w:space="0" w:color="auto"/>
        <w:bottom w:val="none" w:sz="0" w:space="0" w:color="auto"/>
        <w:right w:val="none" w:sz="0" w:space="0" w:color="auto"/>
      </w:divBdr>
    </w:div>
    <w:div w:id="1726946550">
      <w:bodyDiv w:val="1"/>
      <w:marLeft w:val="0"/>
      <w:marRight w:val="0"/>
      <w:marTop w:val="0"/>
      <w:marBottom w:val="0"/>
      <w:divBdr>
        <w:top w:val="none" w:sz="0" w:space="0" w:color="auto"/>
        <w:left w:val="none" w:sz="0" w:space="0" w:color="auto"/>
        <w:bottom w:val="none" w:sz="0" w:space="0" w:color="auto"/>
        <w:right w:val="none" w:sz="0" w:space="0" w:color="auto"/>
      </w:divBdr>
      <w:divsChild>
        <w:div w:id="1166869053">
          <w:marLeft w:val="0"/>
          <w:marRight w:val="0"/>
          <w:marTop w:val="0"/>
          <w:marBottom w:val="0"/>
          <w:divBdr>
            <w:top w:val="none" w:sz="0" w:space="0" w:color="auto"/>
            <w:left w:val="none" w:sz="0" w:space="0" w:color="auto"/>
            <w:bottom w:val="none" w:sz="0" w:space="0" w:color="auto"/>
            <w:right w:val="none" w:sz="0" w:space="0" w:color="auto"/>
          </w:divBdr>
          <w:divsChild>
            <w:div w:id="694042557">
              <w:marLeft w:val="0"/>
              <w:marRight w:val="0"/>
              <w:marTop w:val="0"/>
              <w:marBottom w:val="0"/>
              <w:divBdr>
                <w:top w:val="none" w:sz="0" w:space="0" w:color="auto"/>
                <w:left w:val="none" w:sz="0" w:space="0" w:color="auto"/>
                <w:bottom w:val="none" w:sz="0" w:space="0" w:color="auto"/>
                <w:right w:val="none" w:sz="0" w:space="0" w:color="auto"/>
              </w:divBdr>
              <w:divsChild>
                <w:div w:id="5030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2777">
      <w:bodyDiv w:val="1"/>
      <w:marLeft w:val="0"/>
      <w:marRight w:val="0"/>
      <w:marTop w:val="0"/>
      <w:marBottom w:val="0"/>
      <w:divBdr>
        <w:top w:val="none" w:sz="0" w:space="0" w:color="auto"/>
        <w:left w:val="none" w:sz="0" w:space="0" w:color="auto"/>
        <w:bottom w:val="none" w:sz="0" w:space="0" w:color="auto"/>
        <w:right w:val="none" w:sz="0" w:space="0" w:color="auto"/>
      </w:divBdr>
    </w:div>
    <w:div w:id="1737513852">
      <w:bodyDiv w:val="1"/>
      <w:marLeft w:val="0"/>
      <w:marRight w:val="0"/>
      <w:marTop w:val="0"/>
      <w:marBottom w:val="0"/>
      <w:divBdr>
        <w:top w:val="none" w:sz="0" w:space="0" w:color="auto"/>
        <w:left w:val="none" w:sz="0" w:space="0" w:color="auto"/>
        <w:bottom w:val="none" w:sz="0" w:space="0" w:color="auto"/>
        <w:right w:val="none" w:sz="0" w:space="0" w:color="auto"/>
      </w:divBdr>
    </w:div>
    <w:div w:id="1746535575">
      <w:bodyDiv w:val="1"/>
      <w:marLeft w:val="0"/>
      <w:marRight w:val="0"/>
      <w:marTop w:val="0"/>
      <w:marBottom w:val="0"/>
      <w:divBdr>
        <w:top w:val="none" w:sz="0" w:space="0" w:color="auto"/>
        <w:left w:val="none" w:sz="0" w:space="0" w:color="auto"/>
        <w:bottom w:val="none" w:sz="0" w:space="0" w:color="auto"/>
        <w:right w:val="none" w:sz="0" w:space="0" w:color="auto"/>
      </w:divBdr>
    </w:div>
    <w:div w:id="1749384157">
      <w:bodyDiv w:val="1"/>
      <w:marLeft w:val="0"/>
      <w:marRight w:val="0"/>
      <w:marTop w:val="0"/>
      <w:marBottom w:val="0"/>
      <w:divBdr>
        <w:top w:val="none" w:sz="0" w:space="0" w:color="auto"/>
        <w:left w:val="none" w:sz="0" w:space="0" w:color="auto"/>
        <w:bottom w:val="none" w:sz="0" w:space="0" w:color="auto"/>
        <w:right w:val="none" w:sz="0" w:space="0" w:color="auto"/>
      </w:divBdr>
    </w:div>
    <w:div w:id="1751350611">
      <w:bodyDiv w:val="1"/>
      <w:marLeft w:val="0"/>
      <w:marRight w:val="0"/>
      <w:marTop w:val="0"/>
      <w:marBottom w:val="0"/>
      <w:divBdr>
        <w:top w:val="none" w:sz="0" w:space="0" w:color="auto"/>
        <w:left w:val="none" w:sz="0" w:space="0" w:color="auto"/>
        <w:bottom w:val="none" w:sz="0" w:space="0" w:color="auto"/>
        <w:right w:val="none" w:sz="0" w:space="0" w:color="auto"/>
      </w:divBdr>
    </w:div>
    <w:div w:id="1789932734">
      <w:bodyDiv w:val="1"/>
      <w:marLeft w:val="0"/>
      <w:marRight w:val="0"/>
      <w:marTop w:val="0"/>
      <w:marBottom w:val="0"/>
      <w:divBdr>
        <w:top w:val="none" w:sz="0" w:space="0" w:color="auto"/>
        <w:left w:val="none" w:sz="0" w:space="0" w:color="auto"/>
        <w:bottom w:val="none" w:sz="0" w:space="0" w:color="auto"/>
        <w:right w:val="none" w:sz="0" w:space="0" w:color="auto"/>
      </w:divBdr>
    </w:div>
    <w:div w:id="1794136472">
      <w:bodyDiv w:val="1"/>
      <w:marLeft w:val="0"/>
      <w:marRight w:val="0"/>
      <w:marTop w:val="0"/>
      <w:marBottom w:val="0"/>
      <w:divBdr>
        <w:top w:val="none" w:sz="0" w:space="0" w:color="auto"/>
        <w:left w:val="none" w:sz="0" w:space="0" w:color="auto"/>
        <w:bottom w:val="none" w:sz="0" w:space="0" w:color="auto"/>
        <w:right w:val="none" w:sz="0" w:space="0" w:color="auto"/>
      </w:divBdr>
    </w:div>
    <w:div w:id="1796409841">
      <w:bodyDiv w:val="1"/>
      <w:marLeft w:val="0"/>
      <w:marRight w:val="0"/>
      <w:marTop w:val="0"/>
      <w:marBottom w:val="0"/>
      <w:divBdr>
        <w:top w:val="none" w:sz="0" w:space="0" w:color="auto"/>
        <w:left w:val="none" w:sz="0" w:space="0" w:color="auto"/>
        <w:bottom w:val="none" w:sz="0" w:space="0" w:color="auto"/>
        <w:right w:val="none" w:sz="0" w:space="0" w:color="auto"/>
      </w:divBdr>
    </w:div>
    <w:div w:id="1818304529">
      <w:bodyDiv w:val="1"/>
      <w:marLeft w:val="0"/>
      <w:marRight w:val="0"/>
      <w:marTop w:val="0"/>
      <w:marBottom w:val="0"/>
      <w:divBdr>
        <w:top w:val="none" w:sz="0" w:space="0" w:color="auto"/>
        <w:left w:val="none" w:sz="0" w:space="0" w:color="auto"/>
        <w:bottom w:val="none" w:sz="0" w:space="0" w:color="auto"/>
        <w:right w:val="none" w:sz="0" w:space="0" w:color="auto"/>
      </w:divBdr>
    </w:div>
    <w:div w:id="1833402121">
      <w:bodyDiv w:val="1"/>
      <w:marLeft w:val="0"/>
      <w:marRight w:val="0"/>
      <w:marTop w:val="0"/>
      <w:marBottom w:val="0"/>
      <w:divBdr>
        <w:top w:val="none" w:sz="0" w:space="0" w:color="auto"/>
        <w:left w:val="none" w:sz="0" w:space="0" w:color="auto"/>
        <w:bottom w:val="none" w:sz="0" w:space="0" w:color="auto"/>
        <w:right w:val="none" w:sz="0" w:space="0" w:color="auto"/>
      </w:divBdr>
    </w:div>
    <w:div w:id="1879855266">
      <w:bodyDiv w:val="1"/>
      <w:marLeft w:val="0"/>
      <w:marRight w:val="0"/>
      <w:marTop w:val="0"/>
      <w:marBottom w:val="0"/>
      <w:divBdr>
        <w:top w:val="none" w:sz="0" w:space="0" w:color="auto"/>
        <w:left w:val="none" w:sz="0" w:space="0" w:color="auto"/>
        <w:bottom w:val="none" w:sz="0" w:space="0" w:color="auto"/>
        <w:right w:val="none" w:sz="0" w:space="0" w:color="auto"/>
      </w:divBdr>
    </w:div>
    <w:div w:id="1890532803">
      <w:bodyDiv w:val="1"/>
      <w:marLeft w:val="0"/>
      <w:marRight w:val="0"/>
      <w:marTop w:val="0"/>
      <w:marBottom w:val="0"/>
      <w:divBdr>
        <w:top w:val="none" w:sz="0" w:space="0" w:color="auto"/>
        <w:left w:val="none" w:sz="0" w:space="0" w:color="auto"/>
        <w:bottom w:val="none" w:sz="0" w:space="0" w:color="auto"/>
        <w:right w:val="none" w:sz="0" w:space="0" w:color="auto"/>
      </w:divBdr>
    </w:div>
    <w:div w:id="1895310897">
      <w:bodyDiv w:val="1"/>
      <w:marLeft w:val="0"/>
      <w:marRight w:val="0"/>
      <w:marTop w:val="0"/>
      <w:marBottom w:val="0"/>
      <w:divBdr>
        <w:top w:val="none" w:sz="0" w:space="0" w:color="auto"/>
        <w:left w:val="none" w:sz="0" w:space="0" w:color="auto"/>
        <w:bottom w:val="none" w:sz="0" w:space="0" w:color="auto"/>
        <w:right w:val="none" w:sz="0" w:space="0" w:color="auto"/>
      </w:divBdr>
    </w:div>
    <w:div w:id="1939411085">
      <w:bodyDiv w:val="1"/>
      <w:marLeft w:val="0"/>
      <w:marRight w:val="0"/>
      <w:marTop w:val="0"/>
      <w:marBottom w:val="0"/>
      <w:divBdr>
        <w:top w:val="none" w:sz="0" w:space="0" w:color="auto"/>
        <w:left w:val="none" w:sz="0" w:space="0" w:color="auto"/>
        <w:bottom w:val="none" w:sz="0" w:space="0" w:color="auto"/>
        <w:right w:val="none" w:sz="0" w:space="0" w:color="auto"/>
      </w:divBdr>
    </w:div>
    <w:div w:id="1942954328">
      <w:bodyDiv w:val="1"/>
      <w:marLeft w:val="0"/>
      <w:marRight w:val="0"/>
      <w:marTop w:val="0"/>
      <w:marBottom w:val="0"/>
      <w:divBdr>
        <w:top w:val="none" w:sz="0" w:space="0" w:color="auto"/>
        <w:left w:val="none" w:sz="0" w:space="0" w:color="auto"/>
        <w:bottom w:val="none" w:sz="0" w:space="0" w:color="auto"/>
        <w:right w:val="none" w:sz="0" w:space="0" w:color="auto"/>
      </w:divBdr>
    </w:div>
    <w:div w:id="1969431683">
      <w:bodyDiv w:val="1"/>
      <w:marLeft w:val="0"/>
      <w:marRight w:val="0"/>
      <w:marTop w:val="0"/>
      <w:marBottom w:val="0"/>
      <w:divBdr>
        <w:top w:val="none" w:sz="0" w:space="0" w:color="auto"/>
        <w:left w:val="none" w:sz="0" w:space="0" w:color="auto"/>
        <w:bottom w:val="none" w:sz="0" w:space="0" w:color="auto"/>
        <w:right w:val="none" w:sz="0" w:space="0" w:color="auto"/>
      </w:divBdr>
    </w:div>
    <w:div w:id="1998999011">
      <w:bodyDiv w:val="1"/>
      <w:marLeft w:val="0"/>
      <w:marRight w:val="0"/>
      <w:marTop w:val="0"/>
      <w:marBottom w:val="0"/>
      <w:divBdr>
        <w:top w:val="none" w:sz="0" w:space="0" w:color="auto"/>
        <w:left w:val="none" w:sz="0" w:space="0" w:color="auto"/>
        <w:bottom w:val="none" w:sz="0" w:space="0" w:color="auto"/>
        <w:right w:val="none" w:sz="0" w:space="0" w:color="auto"/>
      </w:divBdr>
    </w:div>
    <w:div w:id="2003265979">
      <w:bodyDiv w:val="1"/>
      <w:marLeft w:val="0"/>
      <w:marRight w:val="0"/>
      <w:marTop w:val="0"/>
      <w:marBottom w:val="0"/>
      <w:divBdr>
        <w:top w:val="none" w:sz="0" w:space="0" w:color="auto"/>
        <w:left w:val="none" w:sz="0" w:space="0" w:color="auto"/>
        <w:bottom w:val="none" w:sz="0" w:space="0" w:color="auto"/>
        <w:right w:val="none" w:sz="0" w:space="0" w:color="auto"/>
      </w:divBdr>
    </w:div>
    <w:div w:id="2033920498">
      <w:bodyDiv w:val="1"/>
      <w:marLeft w:val="0"/>
      <w:marRight w:val="0"/>
      <w:marTop w:val="0"/>
      <w:marBottom w:val="0"/>
      <w:divBdr>
        <w:top w:val="none" w:sz="0" w:space="0" w:color="auto"/>
        <w:left w:val="none" w:sz="0" w:space="0" w:color="auto"/>
        <w:bottom w:val="none" w:sz="0" w:space="0" w:color="auto"/>
        <w:right w:val="none" w:sz="0" w:space="0" w:color="auto"/>
      </w:divBdr>
    </w:div>
    <w:div w:id="2034260405">
      <w:bodyDiv w:val="1"/>
      <w:marLeft w:val="0"/>
      <w:marRight w:val="0"/>
      <w:marTop w:val="0"/>
      <w:marBottom w:val="0"/>
      <w:divBdr>
        <w:top w:val="none" w:sz="0" w:space="0" w:color="auto"/>
        <w:left w:val="none" w:sz="0" w:space="0" w:color="auto"/>
        <w:bottom w:val="none" w:sz="0" w:space="0" w:color="auto"/>
        <w:right w:val="none" w:sz="0" w:space="0" w:color="auto"/>
      </w:divBdr>
    </w:div>
    <w:div w:id="2080325338">
      <w:bodyDiv w:val="1"/>
      <w:marLeft w:val="0"/>
      <w:marRight w:val="0"/>
      <w:marTop w:val="0"/>
      <w:marBottom w:val="0"/>
      <w:divBdr>
        <w:top w:val="none" w:sz="0" w:space="0" w:color="auto"/>
        <w:left w:val="none" w:sz="0" w:space="0" w:color="auto"/>
        <w:bottom w:val="none" w:sz="0" w:space="0" w:color="auto"/>
        <w:right w:val="none" w:sz="0" w:space="0" w:color="auto"/>
      </w:divBdr>
    </w:div>
    <w:div w:id="2087800348">
      <w:bodyDiv w:val="1"/>
      <w:marLeft w:val="0"/>
      <w:marRight w:val="0"/>
      <w:marTop w:val="0"/>
      <w:marBottom w:val="0"/>
      <w:divBdr>
        <w:top w:val="none" w:sz="0" w:space="0" w:color="auto"/>
        <w:left w:val="none" w:sz="0" w:space="0" w:color="auto"/>
        <w:bottom w:val="none" w:sz="0" w:space="0" w:color="auto"/>
        <w:right w:val="none" w:sz="0" w:space="0" w:color="auto"/>
      </w:divBdr>
    </w:div>
    <w:div w:id="2132166549">
      <w:bodyDiv w:val="1"/>
      <w:marLeft w:val="0"/>
      <w:marRight w:val="0"/>
      <w:marTop w:val="0"/>
      <w:marBottom w:val="0"/>
      <w:divBdr>
        <w:top w:val="none" w:sz="0" w:space="0" w:color="auto"/>
        <w:left w:val="none" w:sz="0" w:space="0" w:color="auto"/>
        <w:bottom w:val="none" w:sz="0" w:space="0" w:color="auto"/>
        <w:right w:val="none" w:sz="0" w:space="0" w:color="auto"/>
      </w:divBdr>
    </w:div>
    <w:div w:id="2139102283">
      <w:bodyDiv w:val="1"/>
      <w:marLeft w:val="0"/>
      <w:marRight w:val="0"/>
      <w:marTop w:val="0"/>
      <w:marBottom w:val="0"/>
      <w:divBdr>
        <w:top w:val="none" w:sz="0" w:space="0" w:color="auto"/>
        <w:left w:val="none" w:sz="0" w:space="0" w:color="auto"/>
        <w:bottom w:val="none" w:sz="0" w:space="0" w:color="auto"/>
        <w:right w:val="none" w:sz="0" w:space="0" w:color="auto"/>
      </w:divBdr>
    </w:div>
    <w:div w:id="214237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environmental-justice/index.html" TargetMode="External"/><Relationship Id="rId13" Type="http://schemas.openxmlformats.org/officeDocument/2006/relationships/hyperlink" Target="https://gejp.es.ucsb.edu/sites/default/files/sitefiles/publication/Prison%20EJ%20Project%25w"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icic.gov/state-statistics/2019"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epa.gov/system/files/documents/2021-10/draft-policy-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js.gov/content/pub/pdf/mpsfpji1112.pdf" TargetMode="External"/><Relationship Id="rId5" Type="http://schemas.openxmlformats.org/officeDocument/2006/relationships/webSettings" Target="webSettings.xml"/><Relationship Id="rId15" Type="http://schemas.openxmlformats.org/officeDocument/2006/relationships/hyperlink" Target="https://doi.org/10.1177/14624745221114826" TargetMode="External"/><Relationship Id="rId10" Type="http://schemas.openxmlformats.org/officeDocument/2006/relationships/hyperlink" Target="https://doi.org/10.1155/2015/4603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ptroller.texas.gov/economy/fiscal-notes/2019/aug/jails.php" TargetMode="External"/><Relationship Id="rId14" Type="http://schemas.openxmlformats.org/officeDocument/2006/relationships/hyperlink" Target="https://capitol.texas.gov/tlodocs/84R/handouts/C3822016060210001/11f0b93f-46d1-4dad-bb0b-8c390c491fe8.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tdcj.texas.gov/unit_directory/index.html" TargetMode="External"/><Relationship Id="rId1" Type="http://schemas.openxmlformats.org/officeDocument/2006/relationships/hyperlink" Target="https://ephtracking.cdc.gov/DataExplo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C2F81-F4C0-F54E-86E2-5D2E4E0D8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32</Pages>
  <Words>9263</Words>
  <Characters>52800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 Kristina</dc:creator>
  <cp:keywords/>
  <dc:description/>
  <cp:lastModifiedBy>Block, Kristina</cp:lastModifiedBy>
  <cp:revision>151</cp:revision>
  <dcterms:created xsi:type="dcterms:W3CDTF">2022-06-07T18:30:00Z</dcterms:created>
  <dcterms:modified xsi:type="dcterms:W3CDTF">2023-05-10T17:12:00Z</dcterms:modified>
</cp:coreProperties>
</file>